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Arial" w:cs="Arial" w:eastAsia="Arial" w:hAnsi="Arial"/>
          <w:b/>
          <w:bCs/>
          <w:color w:val="1F3864"/>
          <w:sz w:val="36"/>
          <w:szCs w:val="36"/>
        </w:rPr>
        <w:t xml:space="preserve">Request for Proposal</w:t>
      </w:r>
    </w:p>
    <w:p>
      <w:pPr>
        <w:spacing w:after="60"/>
        <w:jc w:val="center"/>
      </w:pPr>
      <w:r>
        <w:rPr>
          <w:rFonts w:ascii="Arial" w:cs="Arial" w:eastAsia="Arial" w:hAnsi="Arial"/>
          <w:b/>
          <w:bCs/>
          <w:sz w:val="26"/>
          <w:szCs w:val="26"/>
        </w:rPr>
        <w:t xml:space="preserve">West Des Moines Community School District</w:t>
      </w:r>
    </w:p>
    <w:p>
      <w:pPr>
        <w:pBdr>
          <w:bottom w:val="single" w:color="1F3864" w:sz="8" w:space="6"/>
        </w:pBdr>
        <w:spacing w:after="240"/>
        <w:jc w:val="center"/>
      </w:pPr>
      <w:r>
        <w:rPr>
          <w:rFonts w:ascii="Arial" w:cs="Arial" w:eastAsia="Arial" w:hAnsi="Arial"/>
          <w:sz w:val="24"/>
          <w:szCs w:val="24"/>
        </w:rPr>
        <w:t xml:space="preserve">E-rate Funding Year 2027–2028 – Layer 2 Switch Replacement</w:t>
      </w:r>
    </w:p>
    <w:p>
      <w:pPr>
        <w:spacing w:after="120"/>
      </w:pPr>
      <w:r>
        <w:rPr>
          <w:rFonts w:ascii="Arial" w:cs="Arial" w:eastAsia="Arial" w:hAnsi="Arial"/>
          <w:sz w:val="21"/>
          <w:szCs w:val="21"/>
        </w:rPr>
        <w:t xml:space="preserve">Proposals are due November 30, 2026 by email to Brian Abeling, </w:t>
      </w:r>
      <w:r>
        <w:rPr>
          <w:rFonts w:ascii="Arial" w:cs="Arial" w:eastAsia="Arial" w:hAnsi="Arial"/>
          <w:b/>
          <w:bCs/>
          <w:sz w:val="21"/>
          <w:szCs w:val="21"/>
        </w:rPr>
        <w:t xml:space="preserve">abelingb@wdmcs.org</w:t>
      </w:r>
      <w:r>
        <w:rPr>
          <w:rFonts w:ascii="Arial" w:cs="Arial" w:eastAsia="Arial" w:hAnsi="Arial"/>
          <w:sz w:val="21"/>
          <w:szCs w:val="21"/>
        </w:rPr>
        <w:t xml:space="preserve">. All questions must be submitted by email to the same address.</w:t>
      </w:r>
    </w:p>
    <w:p>
      <w:pPr>
        <w:pStyle w:val="Heading1"/>
        <w:spacing w:after="120" w:before="300"/>
      </w:pPr>
      <w:r>
        <w:rPr>
          <w:rFonts w:ascii="Arial" w:cs="Arial" w:eastAsia="Arial" w:hAnsi="Arial"/>
          <w:b/>
          <w:bCs/>
          <w:color w:val="1F3864"/>
          <w:sz w:val="28"/>
          <w:szCs w:val="28"/>
        </w:rPr>
        <w:t xml:space="preserve">Timeline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400"/>
        <w:gridCol w:w="3960"/>
      </w:tblGrid>
      <w:tr>
        <w:trPr>
          <w:tblHeader/>
        </w:trPr>
        <w:tc>
          <w:tcPr>
            <w:tcW w:type="dxa" w:w="540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Milestone</w:t>
            </w:r>
          </w:p>
        </w:tc>
        <w:tc>
          <w:tcPr>
            <w:tcW w:type="dxa" w:w="396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jc w:val="center"/>
            </w:pPr>
            <w:r>
              <w:rPr>
                <w:rFonts w:ascii="Arial" w:cs="Arial" w:eastAsia="Arial" w:hAnsi="Arial"/>
                <w:b/>
                <w:bCs/>
                <w:color w:val="FFFFFF"/>
                <w:sz w:val="19"/>
                <w:szCs w:val="19"/>
              </w:rPr>
              <w:t xml:space="preserve">Date</w:t>
            </w:r>
          </w:p>
        </w:tc>
      </w:tr>
      <w:tr>
        <w:trPr>
          <w:tblHeader w:val="off"/>
        </w:trPr>
        <w:tc>
          <w:tcPr>
            <w:tcW w:type="dxa" w:w="54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left"/>
            </w:pPr>
            <w:r>
              <w:rPr>
                <w:rFonts w:ascii="Arial" w:cs="Arial" w:eastAsia="Arial" w:hAnsi="Arial"/>
                <w:sz w:val="19"/>
                <w:szCs w:val="19"/>
              </w:rPr>
              <w:t xml:space="preserve">RFP issued (Form 470 posted)</w:t>
            </w:r>
          </w:p>
        </w:tc>
        <w:tc>
          <w:tcPr>
            <w:tcW w:type="dxa" w:w="39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October 25, 2026</w:t>
            </w:r>
          </w:p>
        </w:tc>
      </w:tr>
      <w:tr>
        <w:trPr>
          <w:tblHeader w:val="off"/>
        </w:trPr>
        <w:tc>
          <w:tcPr>
            <w:tcW w:type="dxa" w:w="54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left"/>
            </w:pPr>
            <w:r>
              <w:rPr>
                <w:rFonts w:ascii="Arial" w:cs="Arial" w:eastAsia="Arial" w:hAnsi="Arial"/>
                <w:sz w:val="19"/>
                <w:szCs w:val="19"/>
              </w:rPr>
              <w:t xml:space="preserve">Last date for questions</w:t>
            </w:r>
          </w:p>
        </w:tc>
        <w:tc>
          <w:tcPr>
            <w:tcW w:type="dxa" w:w="39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November 20, 2026</w:t>
            </w:r>
          </w:p>
        </w:tc>
      </w:tr>
      <w:tr>
        <w:trPr>
          <w:tblHeader w:val="off"/>
        </w:trPr>
        <w:tc>
          <w:tcPr>
            <w:tcW w:type="dxa" w:w="54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left"/>
            </w:pPr>
            <w:r>
              <w:rPr>
                <w:rFonts w:ascii="Arial" w:cs="Arial" w:eastAsia="Arial" w:hAnsi="Arial"/>
                <w:sz w:val="19"/>
                <w:szCs w:val="19"/>
              </w:rPr>
              <w:t xml:space="preserve">Proposals due</w:t>
            </w:r>
          </w:p>
        </w:tc>
        <w:tc>
          <w:tcPr>
            <w:tcW w:type="dxa" w:w="39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November 30, 2026</w:t>
            </w:r>
          </w:p>
        </w:tc>
      </w:tr>
      <w:tr>
        <w:trPr>
          <w:tblHeader w:val="off"/>
        </w:trPr>
        <w:tc>
          <w:tcPr>
            <w:tcW w:type="dxa" w:w="54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left"/>
            </w:pPr>
            <w:r>
              <w:rPr>
                <w:rFonts w:ascii="Arial" w:cs="Arial" w:eastAsia="Arial" w:hAnsi="Arial"/>
                <w:sz w:val="19"/>
                <w:szCs w:val="19"/>
              </w:rPr>
              <w:t xml:space="preserve">Product received</w:t>
            </w:r>
          </w:p>
        </w:tc>
        <w:tc>
          <w:tcPr>
            <w:tcW w:type="dxa" w:w="39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April 30, 2027</w:t>
            </w:r>
          </w:p>
        </w:tc>
      </w:tr>
      <w:tr>
        <w:trPr>
          <w:tblHeader w:val="off"/>
        </w:trPr>
        <w:tc>
          <w:tcPr>
            <w:tcW w:type="dxa" w:w="54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left"/>
            </w:pPr>
            <w:r>
              <w:rPr>
                <w:rFonts w:ascii="Arial" w:cs="Arial" w:eastAsia="Arial" w:hAnsi="Arial"/>
                <w:sz w:val="19"/>
                <w:szCs w:val="19"/>
              </w:rPr>
              <w:t xml:space="preserve">Switches unboxed and configured</w:t>
            </w:r>
          </w:p>
        </w:tc>
        <w:tc>
          <w:tcPr>
            <w:tcW w:type="dxa" w:w="39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May 31, 2027</w:t>
            </w:r>
          </w:p>
        </w:tc>
      </w:tr>
      <w:tr>
        <w:trPr>
          <w:tblHeader w:val="off"/>
        </w:trPr>
        <w:tc>
          <w:tcPr>
            <w:tcW w:type="dxa" w:w="54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left"/>
            </w:pPr>
            <w:r>
              <w:rPr>
                <w:rFonts w:ascii="Arial" w:cs="Arial" w:eastAsia="Arial" w:hAnsi="Arial"/>
                <w:sz w:val="19"/>
                <w:szCs w:val="19"/>
              </w:rPr>
              <w:t xml:space="preserve">Project start (first installation)</w:t>
            </w:r>
          </w:p>
        </w:tc>
        <w:tc>
          <w:tcPr>
            <w:tcW w:type="dxa" w:w="39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June 1, 2027</w:t>
            </w:r>
          </w:p>
        </w:tc>
      </w:tr>
      <w:tr>
        <w:trPr>
          <w:tblHeader w:val="off"/>
        </w:trPr>
        <w:tc>
          <w:tcPr>
            <w:tcW w:type="dxa" w:w="54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left"/>
            </w:pPr>
            <w:r>
              <w:rPr>
                <w:rFonts w:ascii="Arial" w:cs="Arial" w:eastAsia="Arial" w:hAnsi="Arial"/>
                <w:sz w:val="19"/>
                <w:szCs w:val="19"/>
              </w:rPr>
              <w:t xml:space="preserve">Project completion</w:t>
            </w:r>
          </w:p>
        </w:tc>
        <w:tc>
          <w:tcPr>
            <w:tcW w:type="dxa" w:w="39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June 30, 2027</w:t>
            </w:r>
          </w:p>
        </w:tc>
      </w:tr>
    </w:tbl>
    <w:p>
      <w:pPr>
        <w:spacing w:after="60"/>
      </w:pPr>
    </w:p>
    <w:p>
      <w:pPr>
        <w:spacing w:after="120"/>
      </w:pPr>
      <w:r>
        <w:rPr>
          <w:rFonts w:ascii="Arial" w:cs="Arial" w:eastAsia="Arial" w:hAnsi="Arial"/>
          <w:sz w:val="21"/>
          <w:szCs w:val="21"/>
        </w:rPr>
        <w:t xml:space="preserve">No contract will be signed until at least 28 days after the Form 470 is posted. Answers to questions will be shared with all prospective bidders as an addendum. Installation work must be done during summer break or after school hours.</w:t>
      </w:r>
    </w:p>
    <w:p>
      <w:pPr>
        <w:pStyle w:val="Heading1"/>
        <w:spacing w:after="120" w:before="300"/>
      </w:pPr>
      <w:r>
        <w:rPr>
          <w:rFonts w:ascii="Arial" w:cs="Arial" w:eastAsia="Arial" w:hAnsi="Arial"/>
          <w:b/>
          <w:bCs/>
          <w:color w:val="1F3864"/>
          <w:sz w:val="28"/>
          <w:szCs w:val="28"/>
        </w:rPr>
        <w:t xml:space="preserve">Project Overview</w:t>
      </w:r>
    </w:p>
    <w:p>
      <w:pPr>
        <w:spacing w:after="120"/>
      </w:pPr>
      <w:r>
        <w:rPr>
          <w:rFonts w:ascii="Arial" w:cs="Arial" w:eastAsia="Arial" w:hAnsi="Arial"/>
          <w:sz w:val="21"/>
          <w:szCs w:val="21"/>
        </w:rPr>
        <w:t xml:space="preserve">West Des Moines Community School District (WDMCSD) is seeking to replace all Layer 2 access switches across 17 locations: 223 standard 48-port PoE+ switches and 37 multi-gigabit top-of-rack switches for wireless access points.</w:t>
      </w:r>
    </w:p>
    <w:p>
      <w:pPr>
        <w:pStyle w:val="Heading2"/>
        <w:spacing w:after="100" w:before="200"/>
      </w:pPr>
      <w:r>
        <w:rPr>
          <w:rFonts w:ascii="Arial" w:cs="Arial" w:eastAsia="Arial" w:hAnsi="Arial"/>
          <w:b/>
          <w:bCs/>
          <w:color w:val="1F3864"/>
          <w:sz w:val="23"/>
          <w:szCs w:val="23"/>
        </w:rPr>
        <w:t xml:space="preserve">Current network</w:t>
      </w:r>
    </w:p>
    <w:p>
      <w:pPr>
        <w:pStyle w:val="ListParagraph"/>
        <w:numPr>
          <w:ilvl w:val="0"/>
          <w:numId w:val="2"/>
        </w:numPr>
        <w:spacing w:after="80"/>
      </w:pPr>
      <w:r>
        <w:rPr>
          <w:rFonts w:ascii="Arial" w:cs="Arial" w:eastAsia="Arial" w:hAnsi="Arial"/>
          <w:sz w:val="21"/>
          <w:szCs w:val="21"/>
        </w:rPr>
        <w:t xml:space="preserve">Each closet connects to its building's Layer 3 switch over 1 Gb fiber uplinks. Uplink counts by building are shown in the Quantities table. Building Layer 3 switches are being replaced under a separate RFP.</w:t>
      </w:r>
    </w:p>
    <w:p>
      <w:pPr>
        <w:pStyle w:val="ListParagraph"/>
        <w:numPr>
          <w:ilvl w:val="0"/>
          <w:numId w:val="2"/>
        </w:numPr>
        <w:spacing w:after="80"/>
      </w:pPr>
      <w:r>
        <w:rPr>
          <w:rFonts w:ascii="Arial" w:cs="Arial" w:eastAsia="Arial" w:hAnsi="Arial"/>
          <w:sz w:val="21"/>
          <w:szCs w:val="21"/>
        </w:rPr>
        <w:t xml:space="preserve">The district data center core and the Valley High School core are Arista switches. The network runs OSPF at Layer 3 and MSTP at Layer 2.</w:t>
      </w:r>
    </w:p>
    <w:p>
      <w:pPr>
        <w:pStyle w:val="ListParagraph"/>
        <w:numPr>
          <w:ilvl w:val="0"/>
          <w:numId w:val="2"/>
        </w:numPr>
        <w:spacing w:after="80"/>
      </w:pPr>
      <w:r>
        <w:rPr>
          <w:rFonts w:ascii="Arial" w:cs="Arial" w:eastAsia="Arial" w:hAnsi="Arial"/>
          <w:sz w:val="21"/>
          <w:szCs w:val="21"/>
        </w:rPr>
        <w:t xml:space="preserve">Closets have both OM2 multimode and single-mode fiber. Current 1 Gb uplinks use multimode, except one single-mode run at Valley High School (over 1,500 feet).</w:t>
      </w:r>
    </w:p>
    <w:p>
      <w:pPr>
        <w:pStyle w:val="ListParagraph"/>
        <w:numPr>
          <w:ilvl w:val="0"/>
          <w:numId w:val="2"/>
        </w:numPr>
        <w:spacing w:after="80"/>
      </w:pPr>
      <w:r>
        <w:rPr>
          <w:rFonts w:ascii="Arial" w:cs="Arial" w:eastAsia="Arial" w:hAnsi="Arial"/>
          <w:sz w:val="21"/>
          <w:szCs w:val="21"/>
        </w:rPr>
        <w:t xml:space="preserve">The District requests optional pricing for 10 Gb single-mode (10GBASE-LR) optics to upgrade all closet uplinks to 10 Gb over single-mode fiber. If selected, these optics replace the 1 Gb optics (1000BASE-SX and 1000BASE-LX); they are not in addition to them. The District will decide whether to exercise this option based on budget.</w:t>
      </w:r>
    </w:p>
    <w:p>
      <w:pPr>
        <w:pStyle w:val="ListParagraph"/>
        <w:numPr>
          <w:ilvl w:val="0"/>
          <w:numId w:val="2"/>
        </w:numPr>
        <w:spacing w:after="80"/>
      </w:pPr>
      <w:r>
        <w:rPr>
          <w:rFonts w:ascii="Arial" w:cs="Arial" w:eastAsia="Arial" w:hAnsi="Arial"/>
          <w:sz w:val="21"/>
          <w:szCs w:val="21"/>
        </w:rPr>
        <w:t xml:space="preserve">The District uses Aruba ClearPass for RADIUS authentication and SolarWinds for network monitoring.</w:t>
      </w:r>
    </w:p>
    <w:p>
      <w:pPr>
        <w:pStyle w:val="Heading1"/>
        <w:spacing w:after="120" w:before="300"/>
      </w:pPr>
      <w:r>
        <w:rPr>
          <w:rFonts w:ascii="Arial" w:cs="Arial" w:eastAsia="Arial" w:hAnsi="Arial"/>
          <w:b/>
          <w:bCs/>
          <w:color w:val="1F3864"/>
          <w:sz w:val="28"/>
          <w:szCs w:val="28"/>
        </w:rPr>
        <w:t xml:space="preserve">Scope and Quantities</w:t>
      </w:r>
    </w:p>
    <w:p>
      <w:pPr>
        <w:spacing w:after="120"/>
      </w:pPr>
      <w:r>
        <w:rPr>
          <w:rFonts w:ascii="Arial" w:cs="Arial" w:eastAsia="Arial" w:hAnsi="Arial"/>
          <w:sz w:val="21"/>
          <w:szCs w:val="21"/>
        </w:rPr>
        <w:t xml:space="preserve">Vendors must price E-rate eligible buildings, non-E-rate buildings, spares, training, and removal as separate line items. A closet-by-closet list is available from the District on request.</w:t>
      </w:r>
    </w:p>
    <w:p>
      <w:pPr>
        <w:pStyle w:val="Heading2"/>
        <w:spacing w:after="100" w:before="200"/>
      </w:pPr>
      <w:r>
        <w:rPr>
          <w:rFonts w:ascii="Arial" w:cs="Arial" w:eastAsia="Arial" w:hAnsi="Arial"/>
          <w:b/>
          <w:bCs/>
          <w:color w:val="1F3864"/>
          <w:sz w:val="23"/>
          <w:szCs w:val="23"/>
        </w:rPr>
        <w:t xml:space="preserve">Quantities by building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60"/>
        <w:gridCol w:w="1300"/>
        <w:gridCol w:w="1500"/>
        <w:gridCol w:w="1500"/>
        <w:gridCol w:w="1300"/>
        <w:gridCol w:w="1300"/>
      </w:tblGrid>
      <w:tr>
        <w:trPr>
          <w:tblHeader/>
        </w:trPr>
        <w:tc>
          <w:tcPr>
            <w:tcW w:type="dxa" w:w="246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Building</w:t>
            </w:r>
          </w:p>
        </w:tc>
        <w:tc>
          <w:tcPr>
            <w:tcW w:type="dxa" w:w="130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jc w:val="center"/>
            </w:pPr>
            <w:r>
              <w:rPr>
                <w:rFonts w:ascii="Arial" w:cs="Arial" w:eastAsia="Arial" w:hAnsi="Arial"/>
                <w:b/>
                <w:bCs/>
                <w:color w:val="FFFFFF"/>
                <w:sz w:val="19"/>
                <w:szCs w:val="19"/>
              </w:rPr>
              <w:t xml:space="preserve">Funding</w:t>
            </w:r>
          </w:p>
        </w:tc>
        <w:tc>
          <w:tcPr>
            <w:tcW w:type="dxa" w:w="150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jc w:val="center"/>
            </w:pPr>
            <w:r>
              <w:rPr>
                <w:rFonts w:ascii="Arial" w:cs="Arial" w:eastAsia="Arial" w:hAnsi="Arial"/>
                <w:b/>
                <w:bCs/>
                <w:color w:val="FFFFFF"/>
                <w:sz w:val="19"/>
                <w:szCs w:val="19"/>
              </w:rPr>
              <w:t xml:space="preserve">Standard 48-port PoE+ switches</w:t>
            </w:r>
          </w:p>
        </w:tc>
        <w:tc>
          <w:tcPr>
            <w:tcW w:type="dxa" w:w="150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jc w:val="center"/>
            </w:pPr>
            <w:r>
              <w:rPr>
                <w:rFonts w:ascii="Arial" w:cs="Arial" w:eastAsia="Arial" w:hAnsi="Arial"/>
                <w:b/>
                <w:bCs/>
                <w:color w:val="FFFFFF"/>
                <w:sz w:val="19"/>
                <w:szCs w:val="19"/>
              </w:rPr>
              <w:t xml:space="preserve">Top-of-rack multi-gig switches</w:t>
            </w:r>
          </w:p>
        </w:tc>
        <w:tc>
          <w:tcPr>
            <w:tcW w:type="dxa" w:w="130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jc w:val="center"/>
            </w:pPr>
            <w:r>
              <w:rPr>
                <w:rFonts w:ascii="Arial" w:cs="Arial" w:eastAsia="Arial" w:hAnsi="Arial"/>
                <w:b/>
                <w:bCs/>
                <w:color w:val="FFFFFF"/>
                <w:sz w:val="19"/>
                <w:szCs w:val="19"/>
              </w:rPr>
              <w:t xml:space="preserve">1 Gb SX optics</w:t>
            </w:r>
          </w:p>
        </w:tc>
        <w:tc>
          <w:tcPr>
            <w:tcW w:type="dxa" w:w="130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jc w:val="center"/>
            </w:pPr>
            <w:r>
              <w:rPr>
                <w:rFonts w:ascii="Arial" w:cs="Arial" w:eastAsia="Arial" w:hAnsi="Arial"/>
                <w:b/>
                <w:bCs/>
                <w:color w:val="FFFFFF"/>
                <w:sz w:val="19"/>
                <w:szCs w:val="19"/>
              </w:rPr>
              <w:t xml:space="preserve">1 Gb LX optics</w:t>
            </w:r>
          </w:p>
        </w:tc>
      </w:tr>
      <w:tr>
        <w:trPr>
          <w:tblHeader w:val="off"/>
        </w:trPr>
        <w:tc>
          <w:tcPr>
            <w:tcW w:type="dxa" w:w="24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left"/>
            </w:pPr>
            <w:r>
              <w:rPr>
                <w:rFonts w:ascii="Arial" w:cs="Arial" w:eastAsia="Arial" w:hAnsi="Arial"/>
                <w:sz w:val="19"/>
                <w:szCs w:val="19"/>
              </w:rPr>
              <w:t xml:space="preserve">Clive</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E-rate</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10</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2</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8</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w:t>
            </w:r>
          </w:p>
        </w:tc>
      </w:tr>
      <w:tr>
        <w:trPr>
          <w:tblHeader w:val="off"/>
        </w:trPr>
        <w:tc>
          <w:tcPr>
            <w:tcW w:type="dxa" w:w="24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left"/>
            </w:pPr>
            <w:r>
              <w:rPr>
                <w:rFonts w:ascii="Arial" w:cs="Arial" w:eastAsia="Arial" w:hAnsi="Arial"/>
                <w:sz w:val="19"/>
                <w:szCs w:val="19"/>
              </w:rPr>
              <w:t xml:space="preserve">Crestview</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E-rate</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11</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3</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6</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w:t>
            </w:r>
          </w:p>
        </w:tc>
      </w:tr>
      <w:tr>
        <w:trPr>
          <w:tblHeader w:val="off"/>
        </w:trPr>
        <w:tc>
          <w:tcPr>
            <w:tcW w:type="dxa" w:w="24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left"/>
            </w:pPr>
            <w:r>
              <w:rPr>
                <w:rFonts w:ascii="Arial" w:cs="Arial" w:eastAsia="Arial" w:hAnsi="Arial"/>
                <w:sz w:val="19"/>
                <w:szCs w:val="19"/>
              </w:rPr>
              <w:t xml:space="preserve">Crossroads</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E-rate</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9</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2</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4</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w:t>
            </w:r>
          </w:p>
        </w:tc>
      </w:tr>
      <w:tr>
        <w:trPr>
          <w:tblHeader w:val="off"/>
        </w:trPr>
        <w:tc>
          <w:tcPr>
            <w:tcW w:type="dxa" w:w="24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left"/>
            </w:pPr>
            <w:r>
              <w:rPr>
                <w:rFonts w:ascii="Arial" w:cs="Arial" w:eastAsia="Arial" w:hAnsi="Arial"/>
                <w:sz w:val="19"/>
                <w:szCs w:val="19"/>
              </w:rPr>
              <w:t xml:space="preserve">Fairmeadows</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E-rate</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10</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2</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4</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w:t>
            </w:r>
          </w:p>
        </w:tc>
      </w:tr>
      <w:tr>
        <w:trPr>
          <w:tblHeader w:val="off"/>
        </w:trPr>
        <w:tc>
          <w:tcPr>
            <w:tcW w:type="dxa" w:w="24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left"/>
            </w:pPr>
            <w:r>
              <w:rPr>
                <w:rFonts w:ascii="Arial" w:cs="Arial" w:eastAsia="Arial" w:hAnsi="Arial"/>
                <w:sz w:val="19"/>
                <w:szCs w:val="19"/>
              </w:rPr>
              <w:t xml:space="preserve">Hillside</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E-rate</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10</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2</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4</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w:t>
            </w:r>
          </w:p>
        </w:tc>
      </w:tr>
      <w:tr>
        <w:trPr>
          <w:tblHeader w:val="off"/>
        </w:trPr>
        <w:tc>
          <w:tcPr>
            <w:tcW w:type="dxa" w:w="24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left"/>
            </w:pPr>
            <w:r>
              <w:rPr>
                <w:rFonts w:ascii="Arial" w:cs="Arial" w:eastAsia="Arial" w:hAnsi="Arial"/>
                <w:sz w:val="19"/>
                <w:szCs w:val="19"/>
              </w:rPr>
              <w:t xml:space="preserve">Indian Hills</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E-rate</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16</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3</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8</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w:t>
            </w:r>
          </w:p>
        </w:tc>
      </w:tr>
      <w:tr>
        <w:trPr>
          <w:tblHeader w:val="off"/>
        </w:trPr>
        <w:tc>
          <w:tcPr>
            <w:tcW w:type="dxa" w:w="24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left"/>
            </w:pPr>
            <w:r>
              <w:rPr>
                <w:rFonts w:ascii="Arial" w:cs="Arial" w:eastAsia="Arial" w:hAnsi="Arial"/>
                <w:sz w:val="19"/>
                <w:szCs w:val="19"/>
              </w:rPr>
              <w:t xml:space="preserve">Jordan Creek</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E-rate</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10</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3</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6</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w:t>
            </w:r>
          </w:p>
        </w:tc>
      </w:tr>
      <w:tr>
        <w:trPr>
          <w:tblHeader w:val="off"/>
        </w:trPr>
        <w:tc>
          <w:tcPr>
            <w:tcW w:type="dxa" w:w="24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left"/>
            </w:pPr>
            <w:r>
              <w:rPr>
                <w:rFonts w:ascii="Arial" w:cs="Arial" w:eastAsia="Arial" w:hAnsi="Arial"/>
                <w:sz w:val="19"/>
                <w:szCs w:val="19"/>
              </w:rPr>
              <w:t xml:space="preserve">Rex Mathes</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E-rate</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2</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1</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w:t>
            </w:r>
          </w:p>
        </w:tc>
      </w:tr>
      <w:tr>
        <w:trPr>
          <w:tblHeader w:val="off"/>
        </w:trPr>
        <w:tc>
          <w:tcPr>
            <w:tcW w:type="dxa" w:w="24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left"/>
            </w:pPr>
            <w:r>
              <w:rPr>
                <w:rFonts w:ascii="Arial" w:cs="Arial" w:eastAsia="Arial" w:hAnsi="Arial"/>
                <w:sz w:val="19"/>
                <w:szCs w:val="19"/>
              </w:rPr>
              <w:t xml:space="preserve">Southwoods</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E-rate</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19</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4</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8</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w:t>
            </w:r>
          </w:p>
        </w:tc>
      </w:tr>
      <w:tr>
        <w:trPr>
          <w:tblHeader w:val="off"/>
        </w:trPr>
        <w:tc>
          <w:tcPr>
            <w:tcW w:type="dxa" w:w="24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left"/>
            </w:pPr>
            <w:r>
              <w:rPr>
                <w:rFonts w:ascii="Arial" w:cs="Arial" w:eastAsia="Arial" w:hAnsi="Arial"/>
                <w:sz w:val="19"/>
                <w:szCs w:val="19"/>
              </w:rPr>
              <w:t xml:space="preserve">Stilwell</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E-rate</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16</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2</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9</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w:t>
            </w:r>
          </w:p>
        </w:tc>
      </w:tr>
      <w:tr>
        <w:trPr>
          <w:tblHeader w:val="off"/>
        </w:trPr>
        <w:tc>
          <w:tcPr>
            <w:tcW w:type="dxa" w:w="24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left"/>
            </w:pPr>
            <w:r>
              <w:rPr>
                <w:rFonts w:ascii="Arial" w:cs="Arial" w:eastAsia="Arial" w:hAnsi="Arial"/>
                <w:sz w:val="19"/>
                <w:szCs w:val="19"/>
              </w:rPr>
              <w:t xml:space="preserve">Valley High School</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E-rate</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58</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9</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20</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2</w:t>
            </w:r>
          </w:p>
        </w:tc>
      </w:tr>
      <w:tr>
        <w:trPr>
          <w:tblHeader w:val="off"/>
        </w:trPr>
        <w:tc>
          <w:tcPr>
            <w:tcW w:type="dxa" w:w="24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left"/>
            </w:pPr>
            <w:r>
              <w:rPr>
                <w:rFonts w:ascii="Arial" w:cs="Arial" w:eastAsia="Arial" w:hAnsi="Arial"/>
                <w:sz w:val="19"/>
                <w:szCs w:val="19"/>
              </w:rPr>
              <w:t xml:space="preserve">Walnut Creek</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E-rate</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8</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4</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w:t>
            </w:r>
          </w:p>
        </w:tc>
      </w:tr>
      <w:tr>
        <w:trPr>
          <w:tblHeader w:val="off"/>
        </w:trPr>
        <w:tc>
          <w:tcPr>
            <w:tcW w:type="dxa" w:w="24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left"/>
            </w:pPr>
            <w:r>
              <w:rPr>
                <w:rFonts w:ascii="Arial" w:cs="Arial" w:eastAsia="Arial" w:hAnsi="Arial"/>
                <w:sz w:val="19"/>
                <w:szCs w:val="19"/>
              </w:rPr>
              <w:t xml:space="preserve">Western Hills</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E-rate</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12</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2</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4</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w:t>
            </w:r>
          </w:p>
        </w:tc>
      </w:tr>
      <w:tr>
        <w:trPr>
          <w:tblHeader w:val="off"/>
        </w:trPr>
        <w:tc>
          <w:tcPr>
            <w:tcW w:type="dxa" w:w="24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left"/>
            </w:pPr>
            <w:r>
              <w:rPr>
                <w:rFonts w:ascii="Arial" w:cs="Arial" w:eastAsia="Arial" w:hAnsi="Arial"/>
                <w:sz w:val="19"/>
                <w:szCs w:val="19"/>
              </w:rPr>
              <w:t xml:space="preserve">Westridge</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E-rate</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12</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2</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4</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w:t>
            </w:r>
          </w:p>
        </w:tc>
      </w:tr>
      <w:tr>
        <w:trPr>
          <w:tblHeader w:val="off"/>
        </w:trPr>
        <w:tc>
          <w:tcPr>
            <w:tcW w:type="dxa" w:w="24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left"/>
            </w:pPr>
            <w:r>
              <w:rPr>
                <w:rFonts w:ascii="Arial" w:cs="Arial" w:eastAsia="Arial" w:hAnsi="Arial"/>
                <w:sz w:val="19"/>
                <w:szCs w:val="19"/>
              </w:rPr>
              <w:t xml:space="preserve">Operations</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Non-E-rate</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6</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4</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w:t>
            </w:r>
          </w:p>
        </w:tc>
      </w:tr>
      <w:tr>
        <w:trPr>
          <w:tblHeader w:val="off"/>
        </w:trPr>
        <w:tc>
          <w:tcPr>
            <w:tcW w:type="dxa" w:w="24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left"/>
            </w:pPr>
            <w:r>
              <w:rPr>
                <w:rFonts w:ascii="Arial" w:cs="Arial" w:eastAsia="Arial" w:hAnsi="Arial"/>
                <w:sz w:val="19"/>
                <w:szCs w:val="19"/>
              </w:rPr>
              <w:t xml:space="preserve">LRC</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Non-E-rate</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12</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1</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2</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w:t>
            </w:r>
          </w:p>
        </w:tc>
      </w:tr>
      <w:tr>
        <w:trPr>
          <w:tblHeader w:val="off"/>
        </w:trPr>
        <w:tc>
          <w:tcPr>
            <w:tcW w:type="dxa" w:w="24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left"/>
            </w:pPr>
            <w:r>
              <w:rPr>
                <w:rFonts w:ascii="Arial" w:cs="Arial" w:eastAsia="Arial" w:hAnsi="Arial"/>
                <w:sz w:val="19"/>
                <w:szCs w:val="19"/>
              </w:rPr>
              <w:t xml:space="preserve">Stadium</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Non-E-rate</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2</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6</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w:t>
            </w:r>
          </w:p>
        </w:tc>
      </w:tr>
    </w:tbl>
    <w:p>
      <w:pPr>
        <w:spacing w:after="60"/>
      </w:pPr>
    </w:p>
    <w:p>
      <w:pPr>
        <w:pStyle w:val="Heading2"/>
        <w:spacing w:after="100" w:before="200"/>
      </w:pPr>
      <w:r>
        <w:rPr>
          <w:rFonts w:ascii="Arial" w:cs="Arial" w:eastAsia="Arial" w:hAnsi="Arial"/>
          <w:b/>
          <w:bCs/>
          <w:color w:val="1F3864"/>
          <w:sz w:val="23"/>
          <w:szCs w:val="23"/>
        </w:rPr>
        <w:t xml:space="preserve">Quantity summary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60"/>
        <w:gridCol w:w="1200"/>
        <w:gridCol w:w="1200"/>
        <w:gridCol w:w="1200"/>
        <w:gridCol w:w="1200"/>
      </w:tblGrid>
      <w:tr>
        <w:trPr>
          <w:tblHeader/>
        </w:trPr>
        <w:tc>
          <w:tcPr>
            <w:tcW w:type="dxa" w:w="456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Item</w:t>
            </w:r>
          </w:p>
        </w:tc>
        <w:tc>
          <w:tcPr>
            <w:tcW w:type="dxa" w:w="120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jc w:val="center"/>
            </w:pPr>
            <w:r>
              <w:rPr>
                <w:rFonts w:ascii="Arial" w:cs="Arial" w:eastAsia="Arial" w:hAnsi="Arial"/>
                <w:b/>
                <w:bCs/>
                <w:color w:val="FFFFFF"/>
                <w:sz w:val="19"/>
                <w:szCs w:val="19"/>
              </w:rPr>
              <w:t xml:space="preserve">E-rate</w:t>
            </w:r>
          </w:p>
        </w:tc>
        <w:tc>
          <w:tcPr>
            <w:tcW w:type="dxa" w:w="120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jc w:val="center"/>
            </w:pPr>
            <w:r>
              <w:rPr>
                <w:rFonts w:ascii="Arial" w:cs="Arial" w:eastAsia="Arial" w:hAnsi="Arial"/>
                <w:b/>
                <w:bCs/>
                <w:color w:val="FFFFFF"/>
                <w:sz w:val="19"/>
                <w:szCs w:val="19"/>
              </w:rPr>
              <w:t xml:space="preserve">Non-E-rate</w:t>
            </w:r>
          </w:p>
        </w:tc>
        <w:tc>
          <w:tcPr>
            <w:tcW w:type="dxa" w:w="120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jc w:val="center"/>
            </w:pPr>
            <w:r>
              <w:rPr>
                <w:rFonts w:ascii="Arial" w:cs="Arial" w:eastAsia="Arial" w:hAnsi="Arial"/>
                <w:b/>
                <w:bCs/>
                <w:color w:val="FFFFFF"/>
                <w:sz w:val="19"/>
                <w:szCs w:val="19"/>
              </w:rPr>
              <w:t xml:space="preserve">Spare</w:t>
            </w:r>
          </w:p>
        </w:tc>
        <w:tc>
          <w:tcPr>
            <w:tcW w:type="dxa" w:w="120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jc w:val="center"/>
            </w:pPr>
            <w:r>
              <w:rPr>
                <w:rFonts w:ascii="Arial" w:cs="Arial" w:eastAsia="Arial" w:hAnsi="Arial"/>
                <w:b/>
                <w:bCs/>
                <w:color w:val="FFFFFF"/>
                <w:sz w:val="19"/>
                <w:szCs w:val="19"/>
              </w:rPr>
              <w:t xml:space="preserve">Total</w:t>
            </w:r>
          </w:p>
        </w:tc>
      </w:tr>
      <w:tr>
        <w:trPr>
          <w:tblHeader w:val="off"/>
        </w:trPr>
        <w:tc>
          <w:tcPr>
            <w:tcW w:type="dxa" w:w="45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left"/>
            </w:pPr>
            <w:r>
              <w:rPr>
                <w:rFonts w:ascii="Arial" w:cs="Arial" w:eastAsia="Arial" w:hAnsi="Arial"/>
                <w:sz w:val="19"/>
                <w:szCs w:val="19"/>
              </w:rPr>
              <w:t xml:space="preserve">Standard 48-port PoE+ switch</w:t>
            </w:r>
          </w:p>
        </w:tc>
        <w:tc>
          <w:tcPr>
            <w:tcW w:type="dxa" w:w="12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203</w:t>
            </w:r>
          </w:p>
        </w:tc>
        <w:tc>
          <w:tcPr>
            <w:tcW w:type="dxa" w:w="12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20</w:t>
            </w:r>
          </w:p>
        </w:tc>
        <w:tc>
          <w:tcPr>
            <w:tcW w:type="dxa" w:w="12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w:t>
            </w:r>
          </w:p>
        </w:tc>
        <w:tc>
          <w:tcPr>
            <w:tcW w:type="dxa" w:w="12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223</w:t>
            </w:r>
          </w:p>
        </w:tc>
      </w:tr>
      <w:tr>
        <w:trPr>
          <w:tblHeader w:val="off"/>
        </w:trPr>
        <w:tc>
          <w:tcPr>
            <w:tcW w:type="dxa" w:w="45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left"/>
            </w:pPr>
            <w:r>
              <w:rPr>
                <w:rFonts w:ascii="Arial" w:cs="Arial" w:eastAsia="Arial" w:hAnsi="Arial"/>
                <w:sz w:val="19"/>
                <w:szCs w:val="19"/>
              </w:rPr>
              <w:t xml:space="preserve">Top-of-rack multi-gig switch</w:t>
            </w:r>
          </w:p>
        </w:tc>
        <w:tc>
          <w:tcPr>
            <w:tcW w:type="dxa" w:w="12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36</w:t>
            </w:r>
          </w:p>
        </w:tc>
        <w:tc>
          <w:tcPr>
            <w:tcW w:type="dxa" w:w="12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1</w:t>
            </w:r>
          </w:p>
        </w:tc>
        <w:tc>
          <w:tcPr>
            <w:tcW w:type="dxa" w:w="12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w:t>
            </w:r>
          </w:p>
        </w:tc>
        <w:tc>
          <w:tcPr>
            <w:tcW w:type="dxa" w:w="12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37</w:t>
            </w:r>
          </w:p>
        </w:tc>
      </w:tr>
      <w:tr>
        <w:trPr>
          <w:tblHeader w:val="off"/>
        </w:trPr>
        <w:tc>
          <w:tcPr>
            <w:tcW w:type="dxa" w:w="45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left"/>
            </w:pPr>
            <w:r>
              <w:rPr>
                <w:rFonts w:ascii="Arial" w:cs="Arial" w:eastAsia="Arial" w:hAnsi="Arial"/>
                <w:sz w:val="19"/>
                <w:szCs w:val="19"/>
              </w:rPr>
              <w:t xml:space="preserve">1 Gb multimode optic (1000BASE-SX)</w:t>
            </w:r>
          </w:p>
        </w:tc>
        <w:tc>
          <w:tcPr>
            <w:tcW w:type="dxa" w:w="12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90</w:t>
            </w:r>
          </w:p>
        </w:tc>
        <w:tc>
          <w:tcPr>
            <w:tcW w:type="dxa" w:w="12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12</w:t>
            </w:r>
          </w:p>
        </w:tc>
        <w:tc>
          <w:tcPr>
            <w:tcW w:type="dxa" w:w="12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8</w:t>
            </w:r>
          </w:p>
        </w:tc>
        <w:tc>
          <w:tcPr>
            <w:tcW w:type="dxa" w:w="12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110</w:t>
            </w:r>
          </w:p>
        </w:tc>
      </w:tr>
      <w:tr>
        <w:trPr>
          <w:tblHeader w:val="off"/>
        </w:trPr>
        <w:tc>
          <w:tcPr>
            <w:tcW w:type="dxa" w:w="45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left"/>
            </w:pPr>
            <w:r>
              <w:rPr>
                <w:rFonts w:ascii="Arial" w:cs="Arial" w:eastAsia="Arial" w:hAnsi="Arial"/>
                <w:sz w:val="19"/>
                <w:szCs w:val="19"/>
              </w:rPr>
              <w:t xml:space="preserve">1 Gb single-mode optic (1000BASE-LX)</w:t>
            </w:r>
          </w:p>
        </w:tc>
        <w:tc>
          <w:tcPr>
            <w:tcW w:type="dxa" w:w="12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2</w:t>
            </w:r>
          </w:p>
        </w:tc>
        <w:tc>
          <w:tcPr>
            <w:tcW w:type="dxa" w:w="12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0</w:t>
            </w:r>
          </w:p>
        </w:tc>
        <w:tc>
          <w:tcPr>
            <w:tcW w:type="dxa" w:w="12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4</w:t>
            </w:r>
          </w:p>
        </w:tc>
        <w:tc>
          <w:tcPr>
            <w:tcW w:type="dxa" w:w="12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6</w:t>
            </w:r>
          </w:p>
        </w:tc>
      </w:tr>
      <w:tr>
        <w:trPr>
          <w:tblHeader w:val="off"/>
        </w:trPr>
        <w:tc>
          <w:tcPr>
            <w:tcW w:type="dxa" w:w="4560"/>
            <w:tcBorders>
              <w:top w:val="single" w:color="A6A6A6" w:sz="4"/>
              <w:left w:val="single" w:color="A6A6A6" w:sz="4"/>
              <w:bottom w:val="single" w:color="A6A6A6" w:sz="4"/>
              <w:right w:val="single" w:color="A6A6A6" w:sz="4"/>
            </w:tcBorders>
            <w:shd w:fill="F2F2F2" w:color="auto" w:val="clear"/>
            <w:tcMar>
              <w:top w:type="dxa" w:w="60"/>
              <w:left w:type="dxa" w:w="100"/>
              <w:bottom w:type="dxa" w:w="60"/>
              <w:right w:type="dxa" w:w="100"/>
            </w:tcMar>
          </w:tcPr>
          <w:p>
            <w:pPr>
              <w:jc w:val="left"/>
            </w:pPr>
            <w:r>
              <w:rPr>
                <w:rFonts w:ascii="Arial" w:cs="Arial" w:eastAsia="Arial" w:hAnsi="Arial"/>
                <w:i/>
                <w:iCs/>
                <w:sz w:val="19"/>
                <w:szCs w:val="19"/>
              </w:rPr>
              <w:t xml:space="preserve">Option: 10 Gb single-mode optic (10GBASE-LR) – replaces 1000BASE-SX and 1000BASE-LX</w:t>
            </w:r>
          </w:p>
        </w:tc>
        <w:tc>
          <w:tcPr>
            <w:tcW w:type="dxa" w:w="1200"/>
            <w:tcBorders>
              <w:top w:val="single" w:color="A6A6A6" w:sz="4"/>
              <w:left w:val="single" w:color="A6A6A6" w:sz="4"/>
              <w:bottom w:val="single" w:color="A6A6A6" w:sz="4"/>
              <w:right w:val="single" w:color="A6A6A6" w:sz="4"/>
            </w:tcBorders>
            <w:shd w:fill="F2F2F2" w:color="auto" w:val="clear"/>
            <w:tcMar>
              <w:top w:type="dxa" w:w="60"/>
              <w:left w:type="dxa" w:w="100"/>
              <w:bottom w:type="dxa" w:w="60"/>
              <w:right w:type="dxa" w:w="100"/>
            </w:tcMar>
          </w:tcPr>
          <w:p>
            <w:pPr>
              <w:jc w:val="center"/>
            </w:pPr>
            <w:r>
              <w:rPr>
                <w:rFonts w:ascii="Arial" w:cs="Arial" w:eastAsia="Arial" w:hAnsi="Arial"/>
                <w:i/>
                <w:iCs/>
                <w:sz w:val="19"/>
                <w:szCs w:val="19"/>
              </w:rPr>
              <w:t xml:space="preserve">92</w:t>
            </w:r>
          </w:p>
        </w:tc>
        <w:tc>
          <w:tcPr>
            <w:tcW w:type="dxa" w:w="1200"/>
            <w:tcBorders>
              <w:top w:val="single" w:color="A6A6A6" w:sz="4"/>
              <w:left w:val="single" w:color="A6A6A6" w:sz="4"/>
              <w:bottom w:val="single" w:color="A6A6A6" w:sz="4"/>
              <w:right w:val="single" w:color="A6A6A6" w:sz="4"/>
            </w:tcBorders>
            <w:shd w:fill="F2F2F2" w:color="auto" w:val="clear"/>
            <w:tcMar>
              <w:top w:type="dxa" w:w="60"/>
              <w:left w:type="dxa" w:w="100"/>
              <w:bottom w:type="dxa" w:w="60"/>
              <w:right w:type="dxa" w:w="100"/>
            </w:tcMar>
          </w:tcPr>
          <w:p>
            <w:pPr>
              <w:jc w:val="center"/>
            </w:pPr>
            <w:r>
              <w:rPr>
                <w:rFonts w:ascii="Arial" w:cs="Arial" w:eastAsia="Arial" w:hAnsi="Arial"/>
                <w:i/>
                <w:iCs/>
                <w:sz w:val="19"/>
                <w:szCs w:val="19"/>
              </w:rPr>
              <w:t xml:space="preserve">12</w:t>
            </w:r>
          </w:p>
        </w:tc>
        <w:tc>
          <w:tcPr>
            <w:tcW w:type="dxa" w:w="1200"/>
            <w:tcBorders>
              <w:top w:val="single" w:color="A6A6A6" w:sz="4"/>
              <w:left w:val="single" w:color="A6A6A6" w:sz="4"/>
              <w:bottom w:val="single" w:color="A6A6A6" w:sz="4"/>
              <w:right w:val="single" w:color="A6A6A6" w:sz="4"/>
            </w:tcBorders>
            <w:shd w:fill="F2F2F2" w:color="auto" w:val="clear"/>
            <w:tcMar>
              <w:top w:type="dxa" w:w="60"/>
              <w:left w:type="dxa" w:w="100"/>
              <w:bottom w:type="dxa" w:w="60"/>
              <w:right w:type="dxa" w:w="100"/>
            </w:tcMar>
          </w:tcPr>
          <w:p>
            <w:pPr>
              <w:jc w:val="center"/>
            </w:pPr>
            <w:r>
              <w:rPr>
                <w:rFonts w:ascii="Arial" w:cs="Arial" w:eastAsia="Arial" w:hAnsi="Arial"/>
                <w:i/>
                <w:iCs/>
                <w:sz w:val="19"/>
                <w:szCs w:val="19"/>
              </w:rPr>
              <w:t xml:space="preserve">4</w:t>
            </w:r>
          </w:p>
        </w:tc>
        <w:tc>
          <w:tcPr>
            <w:tcW w:type="dxa" w:w="1200"/>
            <w:tcBorders>
              <w:top w:val="single" w:color="A6A6A6" w:sz="4"/>
              <w:left w:val="single" w:color="A6A6A6" w:sz="4"/>
              <w:bottom w:val="single" w:color="A6A6A6" w:sz="4"/>
              <w:right w:val="single" w:color="A6A6A6" w:sz="4"/>
            </w:tcBorders>
            <w:shd w:fill="F2F2F2" w:color="auto" w:val="clear"/>
            <w:tcMar>
              <w:top w:type="dxa" w:w="60"/>
              <w:left w:type="dxa" w:w="100"/>
              <w:bottom w:type="dxa" w:w="60"/>
              <w:right w:type="dxa" w:w="100"/>
            </w:tcMar>
          </w:tcPr>
          <w:p>
            <w:pPr>
              <w:jc w:val="center"/>
            </w:pPr>
            <w:r>
              <w:rPr>
                <w:rFonts w:ascii="Arial" w:cs="Arial" w:eastAsia="Arial" w:hAnsi="Arial"/>
                <w:i/>
                <w:iCs/>
                <w:sz w:val="19"/>
                <w:szCs w:val="19"/>
              </w:rPr>
              <w:t xml:space="preserve">108</w:t>
            </w:r>
          </w:p>
        </w:tc>
      </w:tr>
      <w:tr>
        <w:trPr>
          <w:tblHeader w:val="off"/>
        </w:trPr>
        <w:tc>
          <w:tcPr>
            <w:tcW w:type="dxa" w:w="45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left"/>
            </w:pPr>
            <w:r>
              <w:rPr>
                <w:rFonts w:ascii="Arial" w:cs="Arial" w:eastAsia="Arial" w:hAnsi="Arial"/>
                <w:sz w:val="19"/>
                <w:szCs w:val="19"/>
              </w:rPr>
              <w:t xml:space="preserve">Management license, 5-year term (one per switch)</w:t>
            </w:r>
          </w:p>
        </w:tc>
        <w:tc>
          <w:tcPr>
            <w:tcW w:type="dxa" w:w="12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239</w:t>
            </w:r>
          </w:p>
        </w:tc>
        <w:tc>
          <w:tcPr>
            <w:tcW w:type="dxa" w:w="12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21</w:t>
            </w:r>
          </w:p>
        </w:tc>
        <w:tc>
          <w:tcPr>
            <w:tcW w:type="dxa" w:w="12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w:t>
            </w:r>
          </w:p>
        </w:tc>
        <w:tc>
          <w:tcPr>
            <w:tcW w:type="dxa" w:w="12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260</w:t>
            </w:r>
          </w:p>
        </w:tc>
      </w:tr>
    </w:tbl>
    <w:p>
      <w:pPr>
        <w:spacing w:after="60"/>
      </w:pPr>
    </w:p>
    <w:p>
      <w:pPr>
        <w:spacing w:after="120"/>
      </w:pPr>
      <w:r>
        <w:rPr>
          <w:rFonts w:ascii="Arial" w:cs="Arial" w:eastAsia="Arial" w:hAnsi="Arial"/>
          <w:b/>
          <w:bCs/>
          <w:sz w:val="21"/>
          <w:szCs w:val="21"/>
        </w:rPr>
        <w:t xml:space="preserve">10 Gb uplink option. </w:t>
      </w:r>
      <w:r>
        <w:rPr>
          <w:rFonts w:ascii="Arial" w:cs="Arial" w:eastAsia="Arial" w:hAnsi="Arial"/>
          <w:sz w:val="21"/>
          <w:szCs w:val="21"/>
        </w:rPr>
        <w:t xml:space="preserve">Vendors must price the 10GBASE-LR optics as a separate alternate, by building and by funding category (E-rate, non-E-rate, spare). If the District selects this option, the 10GBASE-LR optics replace the 1000BASE-SX and 1000BASE-LX optics in full and the closet uplinks move to the existing single-mode fiber. The optics on the Layer 3 switch end are covered under the separate Layer 3 RFP.</w:t>
      </w:r>
    </w:p>
    <w:p>
      <w:pPr>
        <w:spacing w:after="120"/>
      </w:pPr>
      <w:r>
        <w:rPr>
          <w:rFonts w:ascii="Arial" w:cs="Arial" w:eastAsia="Arial" w:hAnsi="Arial"/>
          <w:sz w:val="21"/>
          <w:szCs w:val="21"/>
        </w:rPr>
        <w:t xml:space="preserve">Each proposal must include everything needed for a complete, working installation: power supplies, power cords, stacking cables or modules, rack-mount hardware, and the optics above. The District will supply patch cables. All optics must be supported by the switch manufacturer.</w:t>
      </w:r>
    </w:p>
    <w:p>
      <w:pPr>
        <w:pStyle w:val="Heading1"/>
        <w:spacing w:after="120" w:before="300"/>
      </w:pPr>
      <w:r>
        <w:rPr>
          <w:rFonts w:ascii="Arial" w:cs="Arial" w:eastAsia="Arial" w:hAnsi="Arial"/>
          <w:b/>
          <w:bCs/>
          <w:color w:val="1F3864"/>
          <w:sz w:val="28"/>
          <w:szCs w:val="28"/>
        </w:rPr>
        <w:t xml:space="preserve">Technical Requirements</w:t>
      </w:r>
    </w:p>
    <w:p>
      <w:pPr>
        <w:spacing w:after="120"/>
      </w:pPr>
      <w:r>
        <w:rPr>
          <w:rFonts w:ascii="Arial" w:cs="Arial" w:eastAsia="Arial" w:hAnsi="Arial"/>
          <w:sz w:val="21"/>
          <w:szCs w:val="21"/>
        </w:rPr>
        <w:t xml:space="preserve">The District has identified Arista, Extreme Networks, and HPE Aruba as examples of solutions that meet its requirements. These are provided for reference only. Proposals for equivalent products from other manufacturers will be accepted and evaluated on the same criteria, provided they meet or exceed the specifications below.</w:t>
      </w:r>
    </w:p>
    <w:p>
      <w:pPr>
        <w:pStyle w:val="Heading2"/>
        <w:spacing w:after="100" w:before="200"/>
      </w:pPr>
      <w:r>
        <w:rPr>
          <w:rFonts w:ascii="Arial" w:cs="Arial" w:eastAsia="Arial" w:hAnsi="Arial"/>
          <w:b/>
          <w:bCs/>
          <w:color w:val="1F3864"/>
          <w:sz w:val="23"/>
          <w:szCs w:val="23"/>
        </w:rPr>
        <w:t xml:space="preserve">Standard switch (223 units)</w:t>
      </w:r>
    </w:p>
    <w:p>
      <w:pPr>
        <w:pStyle w:val="ListParagraph"/>
        <w:numPr>
          <w:ilvl w:val="0"/>
          <w:numId w:val="3"/>
        </w:numPr>
        <w:spacing w:after="80"/>
      </w:pPr>
      <w:r>
        <w:rPr>
          <w:rFonts w:ascii="Arial" w:cs="Arial" w:eastAsia="Arial" w:hAnsi="Arial"/>
          <w:sz w:val="21"/>
          <w:szCs w:val="21"/>
        </w:rPr>
        <w:t xml:space="preserve">48 x 10/100/1000BASE-T ports, all PoE+ (IEEE 802.3at, 30W per port).</w:t>
      </w:r>
    </w:p>
    <w:p>
      <w:pPr>
        <w:pStyle w:val="ListParagraph"/>
        <w:numPr>
          <w:ilvl w:val="0"/>
          <w:numId w:val="3"/>
        </w:numPr>
        <w:spacing w:after="80"/>
      </w:pPr>
      <w:r>
        <w:rPr>
          <w:rFonts w:ascii="Arial" w:cs="Arial" w:eastAsia="Arial" w:hAnsi="Arial"/>
          <w:sz w:val="21"/>
          <w:szCs w:val="21"/>
        </w:rPr>
        <w:t xml:space="preserve">Total PoE budget of at least 1,000W on 120V with a single power supply installed.</w:t>
      </w:r>
    </w:p>
    <w:p>
      <w:pPr>
        <w:pStyle w:val="ListParagraph"/>
        <w:numPr>
          <w:ilvl w:val="0"/>
          <w:numId w:val="3"/>
        </w:numPr>
        <w:spacing w:after="80"/>
      </w:pPr>
      <w:r>
        <w:rPr>
          <w:rFonts w:ascii="Arial" w:cs="Arial" w:eastAsia="Arial" w:hAnsi="Arial"/>
          <w:sz w:val="21"/>
          <w:szCs w:val="21"/>
        </w:rPr>
        <w:t xml:space="preserve">A slot for a second, field-installable power supply, so the District can add redundancy or PoE capacity later. The second power supply is not included in this proposal.</w:t>
      </w:r>
    </w:p>
    <w:p>
      <w:pPr>
        <w:pStyle w:val="ListParagraph"/>
        <w:numPr>
          <w:ilvl w:val="0"/>
          <w:numId w:val="3"/>
        </w:numPr>
        <w:spacing w:after="80"/>
      </w:pPr>
      <w:r>
        <w:rPr>
          <w:rFonts w:ascii="Arial" w:cs="Arial" w:eastAsia="Arial" w:hAnsi="Arial"/>
          <w:sz w:val="21"/>
          <w:szCs w:val="21"/>
        </w:rPr>
        <w:t xml:space="preserve">At least 4 SFP+ uplink ports, each supporting both 1 Gb and 10 Gb optics.</w:t>
      </w:r>
    </w:p>
    <w:p>
      <w:pPr>
        <w:pStyle w:val="ListParagraph"/>
        <w:numPr>
          <w:ilvl w:val="0"/>
          <w:numId w:val="3"/>
        </w:numPr>
        <w:spacing w:after="80"/>
      </w:pPr>
      <w:r>
        <w:rPr>
          <w:rFonts w:ascii="Arial" w:cs="Arial" w:eastAsia="Arial" w:hAnsi="Arial"/>
          <w:sz w:val="21"/>
          <w:szCs w:val="21"/>
        </w:rPr>
        <w:t xml:space="preserve">Stacking required. All switches in a stack must be managed as a single unit.</w:t>
      </w:r>
    </w:p>
    <w:p>
      <w:pPr>
        <w:pStyle w:val="Heading2"/>
        <w:spacing w:after="100" w:before="200"/>
      </w:pPr>
      <w:r>
        <w:rPr>
          <w:rFonts w:ascii="Arial" w:cs="Arial" w:eastAsia="Arial" w:hAnsi="Arial"/>
          <w:b/>
          <w:bCs/>
          <w:color w:val="1F3864"/>
          <w:sz w:val="23"/>
          <w:szCs w:val="23"/>
        </w:rPr>
        <w:t xml:space="preserve">Top-of-rack multi-gigabit switch (37 units)</w:t>
      </w:r>
    </w:p>
    <w:p>
      <w:pPr>
        <w:pStyle w:val="ListParagraph"/>
        <w:numPr>
          <w:ilvl w:val="0"/>
          <w:numId w:val="4"/>
        </w:numPr>
        <w:spacing w:after="80"/>
      </w:pPr>
      <w:r>
        <w:rPr>
          <w:rFonts w:ascii="Arial" w:cs="Arial" w:eastAsia="Arial" w:hAnsi="Arial"/>
          <w:sz w:val="21"/>
          <w:szCs w:val="21"/>
        </w:rPr>
        <w:t xml:space="preserve">48 multi-gigabit ports supporting at least 2.5 Gb, with PoE up to 60W per port (IEEE 802.3bt Class 6).</w:t>
      </w:r>
    </w:p>
    <w:p>
      <w:pPr>
        <w:pStyle w:val="ListParagraph"/>
        <w:numPr>
          <w:ilvl w:val="0"/>
          <w:numId w:val="4"/>
        </w:numPr>
        <w:spacing w:after="80"/>
      </w:pPr>
      <w:r>
        <w:rPr>
          <w:rFonts w:ascii="Arial" w:cs="Arial" w:eastAsia="Arial" w:hAnsi="Arial"/>
          <w:sz w:val="21"/>
          <w:szCs w:val="21"/>
        </w:rPr>
        <w:t xml:space="preserve">Total PoE budget of at least 1,340W on 120V.</w:t>
      </w:r>
    </w:p>
    <w:p>
      <w:pPr>
        <w:pStyle w:val="ListParagraph"/>
        <w:numPr>
          <w:ilvl w:val="0"/>
          <w:numId w:val="4"/>
        </w:numPr>
        <w:spacing w:after="80"/>
      </w:pPr>
      <w:r>
        <w:rPr>
          <w:rFonts w:ascii="Arial" w:cs="Arial" w:eastAsia="Arial" w:hAnsi="Arial"/>
          <w:sz w:val="21"/>
          <w:szCs w:val="21"/>
        </w:rPr>
        <w:t xml:space="preserve">Dual hot-swappable power supplies.</w:t>
      </w:r>
    </w:p>
    <w:p>
      <w:pPr>
        <w:pStyle w:val="ListParagraph"/>
        <w:numPr>
          <w:ilvl w:val="0"/>
          <w:numId w:val="4"/>
        </w:numPr>
        <w:spacing w:after="80"/>
      </w:pPr>
      <w:r>
        <w:rPr>
          <w:rFonts w:ascii="Arial" w:cs="Arial" w:eastAsia="Arial" w:hAnsi="Arial"/>
          <w:sz w:val="21"/>
          <w:szCs w:val="21"/>
        </w:rPr>
        <w:t xml:space="preserve">At least 4 SFP+ uplink ports, each supporting both 1 Gb and 10 Gb optics.</w:t>
      </w:r>
    </w:p>
    <w:p>
      <w:pPr>
        <w:pStyle w:val="ListParagraph"/>
        <w:numPr>
          <w:ilvl w:val="0"/>
          <w:numId w:val="4"/>
        </w:numPr>
        <w:spacing w:after="80"/>
      </w:pPr>
      <w:r>
        <w:rPr>
          <w:rFonts w:ascii="Arial" w:cs="Arial" w:eastAsia="Arial" w:hAnsi="Arial"/>
          <w:sz w:val="21"/>
          <w:szCs w:val="21"/>
        </w:rPr>
        <w:t xml:space="preserve">Stacking required. All switches in a stack must be managed as a single unit.</w:t>
      </w:r>
    </w:p>
    <w:p>
      <w:pPr>
        <w:pStyle w:val="Heading2"/>
        <w:spacing w:after="100" w:before="200"/>
      </w:pPr>
      <w:r>
        <w:rPr>
          <w:rFonts w:ascii="Arial" w:cs="Arial" w:eastAsia="Arial" w:hAnsi="Arial"/>
          <w:b/>
          <w:bCs/>
          <w:color w:val="1F3864"/>
          <w:sz w:val="23"/>
          <w:szCs w:val="23"/>
        </w:rPr>
        <w:t xml:space="preserve">All switches</w:t>
      </w:r>
    </w:p>
    <w:p>
      <w:pPr>
        <w:pStyle w:val="ListParagraph"/>
        <w:numPr>
          <w:ilvl w:val="0"/>
          <w:numId w:val="5"/>
        </w:numPr>
        <w:spacing w:after="80"/>
      </w:pPr>
      <w:r>
        <w:rPr>
          <w:rFonts w:ascii="Arial" w:cs="Arial" w:eastAsia="Arial" w:hAnsi="Arial"/>
          <w:sz w:val="21"/>
          <w:szCs w:val="21"/>
        </w:rPr>
        <w:t xml:space="preserve">Layer 2 switching, interoperable with the District's existing network using MSTP (IEEE 802.1s).</w:t>
      </w:r>
    </w:p>
    <w:p>
      <w:pPr>
        <w:pStyle w:val="ListParagraph"/>
        <w:numPr>
          <w:ilvl w:val="0"/>
          <w:numId w:val="5"/>
        </w:numPr>
        <w:spacing w:after="80"/>
      </w:pPr>
      <w:r>
        <w:rPr>
          <w:rFonts w:ascii="Arial" w:cs="Arial" w:eastAsia="Arial" w:hAnsi="Arial"/>
          <w:sz w:val="21"/>
          <w:szCs w:val="21"/>
        </w:rPr>
        <w:t xml:space="preserve">IEEE 802.1Q VLANs, voice VLAN, LLDP-MED, storm control, and IGMP snooping.</w:t>
      </w:r>
    </w:p>
    <w:p>
      <w:pPr>
        <w:pStyle w:val="ListParagraph"/>
        <w:numPr>
          <w:ilvl w:val="0"/>
          <w:numId w:val="5"/>
        </w:numPr>
        <w:spacing w:after="80"/>
      </w:pPr>
      <w:r>
        <w:rPr>
          <w:rFonts w:ascii="Arial" w:cs="Arial" w:eastAsia="Arial" w:hAnsi="Arial"/>
          <w:sz w:val="21"/>
          <w:szCs w:val="21"/>
        </w:rPr>
        <w:t xml:space="preserve">Link aggregation (LACP, IEEE 802.3ad).</w:t>
      </w:r>
    </w:p>
    <w:p>
      <w:pPr>
        <w:pStyle w:val="ListParagraph"/>
        <w:numPr>
          <w:ilvl w:val="0"/>
          <w:numId w:val="5"/>
        </w:numPr>
        <w:spacing w:after="80"/>
      </w:pPr>
      <w:r>
        <w:rPr>
          <w:rFonts w:ascii="Arial" w:cs="Arial" w:eastAsia="Arial" w:hAnsi="Arial"/>
          <w:sz w:val="21"/>
          <w:szCs w:val="21"/>
        </w:rPr>
        <w:t xml:space="preserve">IEEE 802.1X and MAC authentication, compatible with the District's existing Aruba ClearPass RADIUS server.</w:t>
      </w:r>
    </w:p>
    <w:p>
      <w:pPr>
        <w:pStyle w:val="ListParagraph"/>
        <w:numPr>
          <w:ilvl w:val="0"/>
          <w:numId w:val="5"/>
        </w:numPr>
        <w:spacing w:after="80"/>
      </w:pPr>
      <w:r>
        <w:rPr>
          <w:rFonts w:ascii="Arial" w:cs="Arial" w:eastAsia="Arial" w:hAnsi="Arial"/>
          <w:sz w:val="21"/>
          <w:szCs w:val="21"/>
        </w:rPr>
        <w:t xml:space="preserve">SNMP (v2c and v3) and syslog for monitoring with the District's SolarWinds platform, or a manufacturer monitoring tool included in the proposal.</w:t>
      </w:r>
    </w:p>
    <w:p>
      <w:pPr>
        <w:pStyle w:val="ListParagraph"/>
        <w:numPr>
          <w:ilvl w:val="0"/>
          <w:numId w:val="5"/>
        </w:numPr>
        <w:spacing w:after="80"/>
      </w:pPr>
      <w:r>
        <w:rPr>
          <w:rFonts w:ascii="Arial" w:cs="Arial" w:eastAsia="Arial" w:hAnsi="Arial"/>
          <w:sz w:val="21"/>
          <w:szCs w:val="21"/>
        </w:rPr>
        <w:t xml:space="preserve">Operation on 120V, with power cords compatible with NEMA 5-20 receptacles.</w:t>
      </w:r>
    </w:p>
    <w:p>
      <w:pPr>
        <w:pStyle w:val="ListParagraph"/>
        <w:numPr>
          <w:ilvl w:val="0"/>
          <w:numId w:val="5"/>
        </w:numPr>
        <w:spacing w:after="80"/>
      </w:pPr>
      <w:r>
        <w:rPr>
          <w:rFonts w:ascii="Arial" w:cs="Arial" w:eastAsia="Arial" w:hAnsi="Arial"/>
          <w:sz w:val="21"/>
          <w:szCs w:val="21"/>
        </w:rPr>
        <w:t xml:space="preserve">Front-to-back airflow (port-side intake).</w:t>
      </w:r>
    </w:p>
    <w:p>
      <w:pPr>
        <w:pStyle w:val="ListParagraph"/>
        <w:numPr>
          <w:ilvl w:val="0"/>
          <w:numId w:val="5"/>
        </w:numPr>
        <w:spacing w:after="80"/>
      </w:pPr>
      <w:r>
        <w:rPr>
          <w:rFonts w:ascii="Arial" w:cs="Arial" w:eastAsia="Arial" w:hAnsi="Arial"/>
          <w:sz w:val="21"/>
          <w:szCs w:val="21"/>
        </w:rPr>
        <w:t xml:space="preserve">Fits a rack with 24 inches of usable depth.</w:t>
      </w:r>
    </w:p>
    <w:p>
      <w:pPr>
        <w:pStyle w:val="Heading1"/>
        <w:spacing w:after="120" w:before="300"/>
      </w:pPr>
      <w:r>
        <w:rPr>
          <w:rFonts w:ascii="Arial" w:cs="Arial" w:eastAsia="Arial" w:hAnsi="Arial"/>
          <w:b/>
          <w:bCs/>
          <w:color w:val="1F3864"/>
          <w:sz w:val="28"/>
          <w:szCs w:val="28"/>
        </w:rPr>
        <w:t xml:space="preserve">Management, Support, and Installation</w:t>
      </w:r>
    </w:p>
    <w:p>
      <w:pPr>
        <w:pStyle w:val="Heading2"/>
        <w:spacing w:after="100" w:before="200"/>
      </w:pPr>
      <w:r>
        <w:rPr>
          <w:rFonts w:ascii="Arial" w:cs="Arial" w:eastAsia="Arial" w:hAnsi="Arial"/>
          <w:b/>
          <w:bCs/>
          <w:color w:val="1F3864"/>
          <w:sz w:val="23"/>
          <w:szCs w:val="23"/>
        </w:rPr>
        <w:t xml:space="preserve">Management</w:t>
      </w:r>
    </w:p>
    <w:p>
      <w:pPr>
        <w:pStyle w:val="ListParagraph"/>
        <w:numPr>
          <w:ilvl w:val="0"/>
          <w:numId w:val="2"/>
        </w:numPr>
        <w:spacing w:after="80"/>
      </w:pPr>
      <w:r>
        <w:rPr>
          <w:rFonts w:ascii="Arial" w:cs="Arial" w:eastAsia="Arial" w:hAnsi="Arial"/>
          <w:sz w:val="21"/>
          <w:szCs w:val="21"/>
        </w:rPr>
        <w:t xml:space="preserve">Centralized management and monitoring for all proposed switches, licensed for 5 years.</w:t>
      </w:r>
    </w:p>
    <w:p>
      <w:pPr>
        <w:pStyle w:val="ListParagraph"/>
        <w:numPr>
          <w:ilvl w:val="0"/>
          <w:numId w:val="2"/>
        </w:numPr>
        <w:spacing w:after="80"/>
      </w:pPr>
      <w:r>
        <w:rPr>
          <w:rFonts w:ascii="Arial" w:cs="Arial" w:eastAsia="Arial" w:hAnsi="Arial"/>
          <w:sz w:val="21"/>
          <w:szCs w:val="21"/>
        </w:rPr>
        <w:t xml:space="preserve">If management is subscription based, the proposal must show the term and quantity clearly so the full 5 years is covered.</w:t>
      </w:r>
    </w:p>
    <w:p>
      <w:pPr>
        <w:pStyle w:val="Heading2"/>
        <w:spacing w:after="100" w:before="200"/>
      </w:pPr>
      <w:r>
        <w:rPr>
          <w:rFonts w:ascii="Arial" w:cs="Arial" w:eastAsia="Arial" w:hAnsi="Arial"/>
          <w:b/>
          <w:bCs/>
          <w:color w:val="1F3864"/>
          <w:sz w:val="23"/>
          <w:szCs w:val="23"/>
        </w:rPr>
        <w:t xml:space="preserve">Warranty and support</w:t>
      </w:r>
    </w:p>
    <w:p>
      <w:pPr>
        <w:pStyle w:val="ListParagraph"/>
        <w:numPr>
          <w:ilvl w:val="0"/>
          <w:numId w:val="2"/>
        </w:numPr>
        <w:spacing w:after="80"/>
      </w:pPr>
      <w:r>
        <w:rPr>
          <w:rFonts w:ascii="Arial" w:cs="Arial" w:eastAsia="Arial" w:hAnsi="Arial"/>
          <w:sz w:val="21"/>
          <w:szCs w:val="21"/>
        </w:rPr>
        <w:t xml:space="preserve">Hardware: manufacturer limited lifetime warranty, or hardware replacement coverage for the full 5-year term.</w:t>
      </w:r>
    </w:p>
    <w:p>
      <w:pPr>
        <w:pStyle w:val="ListParagraph"/>
        <w:numPr>
          <w:ilvl w:val="0"/>
          <w:numId w:val="2"/>
        </w:numPr>
        <w:spacing w:after="80"/>
      </w:pPr>
      <w:r>
        <w:rPr>
          <w:rFonts w:ascii="Arial" w:cs="Arial" w:eastAsia="Arial" w:hAnsi="Arial"/>
          <w:sz w:val="21"/>
          <w:szCs w:val="21"/>
        </w:rPr>
        <w:t xml:space="preserve">Manufacturer technical support (TAC) and software updates for the full 5-year term.</w:t>
      </w:r>
    </w:p>
    <w:p>
      <w:pPr>
        <w:pStyle w:val="ListParagraph"/>
        <w:numPr>
          <w:ilvl w:val="0"/>
          <w:numId w:val="2"/>
        </w:numPr>
        <w:spacing w:after="80"/>
      </w:pPr>
      <w:r>
        <w:rPr>
          <w:rFonts w:ascii="Arial" w:cs="Arial" w:eastAsia="Arial" w:hAnsi="Arial"/>
          <w:sz w:val="21"/>
          <w:szCs w:val="21"/>
        </w:rPr>
        <w:t xml:space="preserve">Vendors must provide a 5-year bundled price for each switch that includes the hardware, warranty, 5 years of manufacturer support and software updates, and the 5-year management license or subscription. For information purposes, the vendor must also show the portion of the bundled price attributable to support and to management.</w:t>
      </w:r>
    </w:p>
    <w:p>
      <w:pPr>
        <w:pStyle w:val="Heading2"/>
        <w:spacing w:after="100" w:before="200"/>
      </w:pPr>
      <w:r>
        <w:rPr>
          <w:rFonts w:ascii="Arial" w:cs="Arial" w:eastAsia="Arial" w:hAnsi="Arial"/>
          <w:b/>
          <w:bCs/>
          <w:color w:val="1F3864"/>
          <w:sz w:val="23"/>
          <w:szCs w:val="23"/>
        </w:rPr>
        <w:t xml:space="preserve">Installation services</w:t>
      </w:r>
    </w:p>
    <w:p>
      <w:pPr>
        <w:pStyle w:val="ListParagraph"/>
        <w:numPr>
          <w:ilvl w:val="0"/>
          <w:numId w:val="2"/>
        </w:numPr>
        <w:spacing w:after="80"/>
      </w:pPr>
      <w:r>
        <w:rPr>
          <w:rFonts w:ascii="Arial" w:cs="Arial" w:eastAsia="Arial" w:hAnsi="Arial"/>
          <w:sz w:val="21"/>
          <w:szCs w:val="21"/>
        </w:rPr>
        <w:t xml:space="preserve">The vendor installs all switches, working with District technology staff.</w:t>
      </w:r>
    </w:p>
    <w:p>
      <w:pPr>
        <w:pStyle w:val="ListParagraph"/>
        <w:numPr>
          <w:ilvl w:val="0"/>
          <w:numId w:val="2"/>
        </w:numPr>
        <w:spacing w:after="80"/>
      </w:pPr>
      <w:r>
        <w:rPr>
          <w:rFonts w:ascii="Arial" w:cs="Arial" w:eastAsia="Arial" w:hAnsi="Arial"/>
          <w:sz w:val="21"/>
          <w:szCs w:val="21"/>
        </w:rPr>
        <w:t xml:space="preserve">Migrate and clean up the existing configurations for the new equipment.</w:t>
      </w:r>
    </w:p>
    <w:p>
      <w:pPr>
        <w:pStyle w:val="ListParagraph"/>
        <w:numPr>
          <w:ilvl w:val="0"/>
          <w:numId w:val="2"/>
        </w:numPr>
        <w:spacing w:after="80"/>
      </w:pPr>
      <w:r>
        <w:rPr>
          <w:rFonts w:ascii="Arial" w:cs="Arial" w:eastAsia="Arial" w:hAnsi="Arial"/>
          <w:sz w:val="21"/>
          <w:szCs w:val="21"/>
        </w:rPr>
        <w:t xml:space="preserve">Install, cut over, and test each closet during summer break or after school hours.</w:t>
      </w:r>
    </w:p>
    <w:p>
      <w:pPr>
        <w:pStyle w:val="ListParagraph"/>
        <w:numPr>
          <w:ilvl w:val="0"/>
          <w:numId w:val="2"/>
        </w:numPr>
        <w:spacing w:after="80"/>
      </w:pPr>
      <w:r>
        <w:rPr>
          <w:rFonts w:ascii="Arial" w:cs="Arial" w:eastAsia="Arial" w:hAnsi="Arial"/>
          <w:sz w:val="21"/>
          <w:szCs w:val="21"/>
        </w:rPr>
        <w:t xml:space="preserve">Reuse existing patch cables. The District will supply any additional patch cables needed.</w:t>
      </w:r>
    </w:p>
    <w:p>
      <w:pPr>
        <w:pStyle w:val="ListParagraph"/>
        <w:numPr>
          <w:ilvl w:val="0"/>
          <w:numId w:val="2"/>
        </w:numPr>
        <w:spacing w:after="80"/>
      </w:pPr>
      <w:r>
        <w:rPr>
          <w:rFonts w:ascii="Arial" w:cs="Arial" w:eastAsia="Arial" w:hAnsi="Arial"/>
          <w:sz w:val="21"/>
          <w:szCs w:val="21"/>
        </w:rPr>
        <w:t xml:space="preserve">Provide final configuration files and documentation for each building.</w:t>
      </w:r>
    </w:p>
    <w:p>
      <w:pPr>
        <w:pStyle w:val="Heading2"/>
        <w:spacing w:after="100" w:before="200"/>
      </w:pPr>
      <w:r>
        <w:rPr>
          <w:rFonts w:ascii="Arial" w:cs="Arial" w:eastAsia="Arial" w:hAnsi="Arial"/>
          <w:b/>
          <w:bCs/>
          <w:color w:val="1F3864"/>
          <w:sz w:val="23"/>
          <w:szCs w:val="23"/>
        </w:rPr>
        <w:t xml:space="preserve">Training (priced separately)</w:t>
      </w:r>
    </w:p>
    <w:p>
      <w:pPr>
        <w:pStyle w:val="ListParagraph"/>
        <w:numPr>
          <w:ilvl w:val="0"/>
          <w:numId w:val="2"/>
        </w:numPr>
        <w:spacing w:after="80"/>
      </w:pPr>
      <w:r>
        <w:rPr>
          <w:rFonts w:ascii="Arial" w:cs="Arial" w:eastAsia="Arial" w:hAnsi="Arial"/>
          <w:sz w:val="21"/>
          <w:szCs w:val="21"/>
        </w:rPr>
        <w:t xml:space="preserve">Hands-on training on the proposed equipment and management platform for 2 District technicians.</w:t>
      </w:r>
    </w:p>
    <w:p>
      <w:pPr>
        <w:pStyle w:val="Heading2"/>
        <w:spacing w:after="100" w:before="200"/>
      </w:pPr>
      <w:r>
        <w:rPr>
          <w:rFonts w:ascii="Arial" w:cs="Arial" w:eastAsia="Arial" w:hAnsi="Arial"/>
          <w:b/>
          <w:bCs/>
          <w:color w:val="1F3864"/>
          <w:sz w:val="23"/>
          <w:szCs w:val="23"/>
        </w:rPr>
        <w:t xml:space="preserve">Removal and delivery (priced separately)</w:t>
      </w:r>
    </w:p>
    <w:p>
      <w:pPr>
        <w:pStyle w:val="ListParagraph"/>
        <w:numPr>
          <w:ilvl w:val="0"/>
          <w:numId w:val="2"/>
        </w:numPr>
        <w:spacing w:after="80"/>
      </w:pPr>
      <w:r>
        <w:rPr>
          <w:rFonts w:ascii="Arial" w:cs="Arial" w:eastAsia="Arial" w:hAnsi="Arial"/>
          <w:sz w:val="21"/>
          <w:szCs w:val="21"/>
        </w:rPr>
        <w:t xml:space="preserve">Remove all packaging and installation waste from each site.</w:t>
      </w:r>
    </w:p>
    <w:p>
      <w:pPr>
        <w:pStyle w:val="ListParagraph"/>
        <w:numPr>
          <w:ilvl w:val="0"/>
          <w:numId w:val="2"/>
        </w:numPr>
        <w:spacing w:after="80"/>
      </w:pPr>
      <w:r>
        <w:rPr>
          <w:rFonts w:ascii="Arial" w:cs="Arial" w:eastAsia="Arial" w:hAnsi="Arial"/>
          <w:sz w:val="21"/>
          <w:szCs w:val="21"/>
        </w:rPr>
        <w:t xml:space="preserve">Remove all replaced switches from each closet after cutover and deliver them to the District warehouse, 2102 Delavan Drive, West Des Moines, IA 50265, Attention: John Weathers.</w:t>
      </w:r>
    </w:p>
    <w:p>
      <w:pPr>
        <w:pStyle w:val="ListParagraph"/>
        <w:numPr>
          <w:ilvl w:val="0"/>
          <w:numId w:val="2"/>
        </w:numPr>
        <w:spacing w:after="80"/>
      </w:pPr>
      <w:r>
        <w:rPr>
          <w:rFonts w:ascii="Arial" w:cs="Arial" w:eastAsia="Arial" w:hAnsi="Arial"/>
          <w:sz w:val="21"/>
          <w:szCs w:val="21"/>
        </w:rPr>
        <w:t xml:space="preserve">Removal and delivery are not E-rate eligible. They must be priced separately on the pricing form and invoiced separately from E-rate eligible items.</w:t>
      </w:r>
    </w:p>
    <w:p>
      <w:pPr>
        <w:pStyle w:val="Heading1"/>
        <w:spacing w:after="120" w:before="300"/>
      </w:pPr>
      <w:r>
        <w:rPr>
          <w:rFonts w:ascii="Arial" w:cs="Arial" w:eastAsia="Arial" w:hAnsi="Arial"/>
          <w:b/>
          <w:bCs/>
          <w:color w:val="1F3864"/>
          <w:sz w:val="28"/>
          <w:szCs w:val="28"/>
        </w:rPr>
        <w:t xml:space="preserve">E-rate Contingency and Terms</w:t>
      </w:r>
    </w:p>
    <w:p>
      <w:pPr>
        <w:spacing w:after="120"/>
      </w:pPr>
      <w:r>
        <w:rPr>
          <w:rFonts w:ascii="Arial" w:cs="Arial" w:eastAsia="Arial" w:hAnsi="Arial"/>
          <w:sz w:val="21"/>
          <w:szCs w:val="21"/>
        </w:rPr>
        <w:t xml:space="preserve">This project is contingent upon approval of funding from the Universal Service Fund's Schools and Libraries Program (E-rate). The District may, at its sole discretion, proceed with delivery and installation before a funding commitment is issued. Even after contract award and E-rate funding approval, the District may proceed with the project in whole, in part, or not at all, at its sole discretion.</w:t>
      </w:r>
    </w:p>
    <w:p>
      <w:pPr>
        <w:pStyle w:val="ListParagraph"/>
        <w:numPr>
          <w:ilvl w:val="0"/>
          <w:numId w:val="2"/>
        </w:numPr>
        <w:spacing w:after="80"/>
      </w:pPr>
      <w:r>
        <w:rPr>
          <w:rFonts w:ascii="Arial" w:cs="Arial" w:eastAsia="Arial" w:hAnsi="Arial"/>
          <w:sz w:val="21"/>
          <w:szCs w:val="21"/>
        </w:rPr>
        <w:t xml:space="preserve">The District intends to use the Billed Entity Applicant Reimbursement (BEAR) method. The vendor will invoice the District for the full amount and must certify the District's Form 472 in a timely manner.</w:t>
      </w:r>
    </w:p>
    <w:p>
      <w:pPr>
        <w:pStyle w:val="ListParagraph"/>
        <w:numPr>
          <w:ilvl w:val="0"/>
          <w:numId w:val="2"/>
        </w:numPr>
        <w:spacing w:after="80"/>
      </w:pPr>
      <w:r>
        <w:rPr>
          <w:rFonts w:ascii="Arial" w:cs="Arial" w:eastAsia="Arial" w:hAnsi="Arial"/>
          <w:sz w:val="21"/>
          <w:szCs w:val="21"/>
        </w:rPr>
        <w:t xml:space="preserve">Products and services must be delivered before billing begins. The vendor must invoice each building separately after work at that building is complete.</w:t>
      </w:r>
    </w:p>
    <w:p>
      <w:pPr>
        <w:pStyle w:val="ListParagraph"/>
        <w:numPr>
          <w:ilvl w:val="0"/>
          <w:numId w:val="2"/>
        </w:numPr>
        <w:spacing w:after="80"/>
      </w:pPr>
      <w:r>
        <w:rPr>
          <w:rFonts w:ascii="Arial" w:cs="Arial" w:eastAsia="Arial" w:hAnsi="Arial"/>
          <w:sz w:val="21"/>
          <w:szCs w:val="21"/>
        </w:rPr>
        <w:t xml:space="preserve">Non-E-rate buildings, spares, training, and removal must be invoiced separately from E-rate eligible items and will be paid entirely by the District.</w:t>
      </w:r>
    </w:p>
    <w:p>
      <w:pPr>
        <w:pStyle w:val="ListParagraph"/>
        <w:numPr>
          <w:ilvl w:val="0"/>
          <w:numId w:val="2"/>
        </w:numPr>
        <w:spacing w:after="80"/>
      </w:pPr>
      <w:r>
        <w:rPr>
          <w:rFonts w:ascii="Arial" w:cs="Arial" w:eastAsia="Arial" w:hAnsi="Arial"/>
          <w:sz w:val="21"/>
          <w:szCs w:val="21"/>
        </w:rPr>
        <w:t xml:space="preserve">Prices must be held firm for the E-rate funding year, or until all project work is complete, including any USAC-approved extensions.</w:t>
      </w:r>
    </w:p>
    <w:p>
      <w:pPr>
        <w:pStyle w:val="ListParagraph"/>
        <w:numPr>
          <w:ilvl w:val="0"/>
          <w:numId w:val="2"/>
        </w:numPr>
        <w:spacing w:after="80"/>
      </w:pPr>
      <w:r>
        <w:rPr>
          <w:rFonts w:ascii="Arial" w:cs="Arial" w:eastAsia="Arial" w:hAnsi="Arial"/>
          <w:sz w:val="21"/>
          <w:szCs w:val="21"/>
        </w:rPr>
        <w:t xml:space="preserve">The vendor must offer the District the Lowest Corresponding Price (LCP) for all products and services.</w:t>
      </w:r>
    </w:p>
    <w:p>
      <w:pPr>
        <w:pStyle w:val="ListParagraph"/>
        <w:numPr>
          <w:ilvl w:val="0"/>
          <w:numId w:val="2"/>
        </w:numPr>
        <w:spacing w:after="80"/>
      </w:pPr>
      <w:r>
        <w:rPr>
          <w:rFonts w:ascii="Arial" w:cs="Arial" w:eastAsia="Arial" w:hAnsi="Arial"/>
          <w:sz w:val="21"/>
          <w:szCs w:val="21"/>
        </w:rPr>
        <w:t xml:space="preserve">Within one week of award, the vendor must provide a bill of materials using the USAC "Item 21" template. Later invoices for each building must match the Item 21 attachment.</w:t>
      </w:r>
    </w:p>
    <w:p>
      <w:pPr>
        <w:pStyle w:val="Heading2"/>
        <w:spacing w:after="100" w:before="200"/>
      </w:pPr>
      <w:r>
        <w:rPr>
          <w:rFonts w:ascii="Arial" w:cs="Arial" w:eastAsia="Arial" w:hAnsi="Arial"/>
          <w:b/>
          <w:bCs/>
          <w:color w:val="1F3864"/>
          <w:sz w:val="23"/>
          <w:szCs w:val="23"/>
        </w:rPr>
        <w:t xml:space="preserve">Service provider acknowledgements</w:t>
      </w:r>
    </w:p>
    <w:p>
      <w:pPr>
        <w:pStyle w:val="ListParagraph"/>
        <w:numPr>
          <w:ilvl w:val="0"/>
          <w:numId w:val="6"/>
        </w:numPr>
        <w:spacing w:after="80"/>
      </w:pPr>
      <w:r>
        <w:rPr>
          <w:rFonts w:ascii="Arial" w:cs="Arial" w:eastAsia="Arial" w:hAnsi="Arial"/>
          <w:sz w:val="21"/>
          <w:szCs w:val="21"/>
        </w:rPr>
        <w:t xml:space="preserve">No change to the products or services in this RFP is allowed without the District's prior written approval and a USAC service substitution approval, except for global service substitutions.</w:t>
      </w:r>
    </w:p>
    <w:p>
      <w:pPr>
        <w:pStyle w:val="ListParagraph"/>
        <w:numPr>
          <w:ilvl w:val="0"/>
          <w:numId w:val="6"/>
        </w:numPr>
        <w:spacing w:after="80"/>
      </w:pPr>
      <w:r>
        <w:rPr>
          <w:rFonts w:ascii="Arial" w:cs="Arial" w:eastAsia="Arial" w:hAnsi="Arial"/>
          <w:sz w:val="21"/>
          <w:szCs w:val="21"/>
        </w:rPr>
        <w:t xml:space="preserve">All pricing and technology infrastructure information in the proposal will be considered public and non-confidential under 47 CFR §54.504.</w:t>
      </w:r>
    </w:p>
    <w:p>
      <w:pPr>
        <w:pStyle w:val="Heading1"/>
        <w:spacing w:after="120" w:before="300"/>
      </w:pPr>
      <w:r>
        <w:rPr>
          <w:rFonts w:ascii="Arial" w:cs="Arial" w:eastAsia="Arial" w:hAnsi="Arial"/>
          <w:b/>
          <w:bCs/>
          <w:color w:val="1F3864"/>
          <w:sz w:val="28"/>
          <w:szCs w:val="28"/>
        </w:rPr>
        <w:t xml:space="preserve">Proposal Requirements and Evaluation</w:t>
      </w:r>
    </w:p>
    <w:p>
      <w:pPr>
        <w:spacing w:after="120"/>
      </w:pPr>
      <w:r>
        <w:rPr>
          <w:rFonts w:ascii="Arial" w:cs="Arial" w:eastAsia="Arial" w:hAnsi="Arial"/>
          <w:sz w:val="21"/>
          <w:szCs w:val="21"/>
        </w:rPr>
        <w:t xml:space="preserve">Proposals must be emailed to Brian Abeling, </w:t>
      </w:r>
      <w:r>
        <w:rPr>
          <w:rFonts w:ascii="Arial" w:cs="Arial" w:eastAsia="Arial" w:hAnsi="Arial"/>
          <w:b/>
          <w:bCs/>
          <w:sz w:val="21"/>
          <w:szCs w:val="21"/>
        </w:rPr>
        <w:t xml:space="preserve">abelingb@wdmcs.org</w:t>
      </w:r>
      <w:r>
        <w:rPr>
          <w:rFonts w:ascii="Arial" w:cs="Arial" w:eastAsia="Arial" w:hAnsi="Arial"/>
          <w:sz w:val="21"/>
          <w:szCs w:val="21"/>
        </w:rPr>
        <w:t xml:space="preserve">, by November 30, 2026. Proposals missing any item below may be disqualified.</w:t>
      </w:r>
    </w:p>
    <w:p>
      <w:pPr>
        <w:pStyle w:val="ListParagraph"/>
        <w:numPr>
          <w:ilvl w:val="0"/>
          <w:numId w:val="7"/>
        </w:numPr>
        <w:spacing w:after="80"/>
      </w:pPr>
      <w:r>
        <w:rPr>
          <w:rFonts w:ascii="Arial" w:cs="Arial" w:eastAsia="Arial" w:hAnsi="Arial"/>
          <w:sz w:val="21"/>
          <w:szCs w:val="21"/>
        </w:rPr>
        <w:t xml:space="preserve">An itemized price list by building covering switches, optics, power supplies, stacking components, licenses, support, delivery, installation, and configuration. E-rate, non-E-rate, spares, training, and removal must be priced separately. Pricing must be submitted using the District's pricing form (Attachment A) in Excel format.</w:t>
      </w:r>
    </w:p>
    <w:p>
      <w:pPr>
        <w:pStyle w:val="ListParagraph"/>
        <w:numPr>
          <w:ilvl w:val="0"/>
          <w:numId w:val="7"/>
        </w:numPr>
        <w:spacing w:after="80"/>
      </w:pPr>
      <w:r>
        <w:rPr>
          <w:rFonts w:ascii="Arial" w:cs="Arial" w:eastAsia="Arial" w:hAnsi="Arial"/>
          <w:sz w:val="21"/>
          <w:szCs w:val="21"/>
        </w:rPr>
        <w:t xml:space="preserve">The vendor's SPIN (Service Provider Identification Number).</w:t>
      </w:r>
    </w:p>
    <w:p>
      <w:pPr>
        <w:pStyle w:val="ListParagraph"/>
        <w:numPr>
          <w:ilvl w:val="0"/>
          <w:numId w:val="7"/>
        </w:numPr>
        <w:spacing w:after="80"/>
      </w:pPr>
      <w:r>
        <w:rPr>
          <w:rFonts w:ascii="Arial" w:cs="Arial" w:eastAsia="Arial" w:hAnsi="Arial"/>
          <w:sz w:val="21"/>
          <w:szCs w:val="21"/>
        </w:rPr>
        <w:t xml:space="preserve">Manufacturer data sheets for all proposed equipment, including PoE budgets at 120V.</w:t>
      </w:r>
    </w:p>
    <w:p>
      <w:pPr>
        <w:pStyle w:val="ListParagraph"/>
        <w:numPr>
          <w:ilvl w:val="0"/>
          <w:numId w:val="7"/>
        </w:numPr>
        <w:spacing w:after="80"/>
      </w:pPr>
      <w:r>
        <w:rPr>
          <w:rFonts w:ascii="Arial" w:cs="Arial" w:eastAsia="Arial" w:hAnsi="Arial"/>
          <w:sz w:val="21"/>
          <w:szCs w:val="21"/>
        </w:rPr>
        <w:t xml:space="preserve">Names and certifications of the installation staff.</w:t>
      </w:r>
    </w:p>
    <w:p>
      <w:pPr>
        <w:pStyle w:val="ListParagraph"/>
        <w:numPr>
          <w:ilvl w:val="0"/>
          <w:numId w:val="7"/>
        </w:numPr>
        <w:spacing w:after="80"/>
      </w:pPr>
      <w:r>
        <w:rPr>
          <w:rFonts w:ascii="Arial" w:cs="Arial" w:eastAsia="Arial" w:hAnsi="Arial"/>
          <w:sz w:val="21"/>
          <w:szCs w:val="21"/>
        </w:rPr>
        <w:t xml:space="preserve">A compliance matrix responding to each Technical Requirement and each item under Management, Warranty and Support, and Installation Services. For each item, the vendor must state "Comply," "Partial," or "Does Not Comply," with a brief explanation and a reference to the supporting data sheet page where applicable. Any exceptions must be explained.</w:t>
      </w:r>
    </w:p>
    <w:p>
      <w:pPr>
        <w:pStyle w:val="Heading2"/>
        <w:spacing w:after="100" w:before="200"/>
      </w:pPr>
      <w:r>
        <w:rPr>
          <w:rFonts w:ascii="Arial" w:cs="Arial" w:eastAsia="Arial" w:hAnsi="Arial"/>
          <w:b/>
          <w:bCs/>
          <w:color w:val="1F3864"/>
          <w:sz w:val="23"/>
          <w:szCs w:val="23"/>
        </w:rPr>
        <w:t xml:space="preserve">Evaluation matrix</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560"/>
        <w:gridCol w:w="1800"/>
      </w:tblGrid>
      <w:tr>
        <w:trPr>
          <w:tblHeader/>
        </w:trPr>
        <w:tc>
          <w:tcPr>
            <w:tcW w:type="dxa" w:w="756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Criteria</w:t>
            </w:r>
          </w:p>
        </w:tc>
        <w:tc>
          <w:tcPr>
            <w:tcW w:type="dxa" w:w="180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jc w:val="center"/>
            </w:pPr>
            <w:r>
              <w:rPr>
                <w:rFonts w:ascii="Arial" w:cs="Arial" w:eastAsia="Arial" w:hAnsi="Arial"/>
                <w:b/>
                <w:bCs/>
                <w:color w:val="FFFFFF"/>
                <w:sz w:val="19"/>
                <w:szCs w:val="19"/>
              </w:rPr>
              <w:t xml:space="preserve">Points</w:t>
            </w:r>
          </w:p>
        </w:tc>
      </w:tr>
      <w:tr>
        <w:trPr>
          <w:tblHeader w:val="off"/>
        </w:trPr>
        <w:tc>
          <w:tcPr>
            <w:tcW w:type="dxa" w:w="75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left"/>
            </w:pPr>
            <w:r>
              <w:rPr>
                <w:rFonts w:ascii="Arial" w:cs="Arial" w:eastAsia="Arial" w:hAnsi="Arial"/>
                <w:sz w:val="19"/>
                <w:szCs w:val="19"/>
              </w:rPr>
              <w:t xml:space="preserve">Price of eligible products and services</w:t>
            </w:r>
          </w:p>
        </w:tc>
        <w:tc>
          <w:tcPr>
            <w:tcW w:type="dxa" w:w="18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40</w:t>
            </w:r>
          </w:p>
        </w:tc>
      </w:tr>
      <w:tr>
        <w:trPr>
          <w:tblHeader w:val="off"/>
        </w:trPr>
        <w:tc>
          <w:tcPr>
            <w:tcW w:type="dxa" w:w="75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left"/>
            </w:pPr>
            <w:r>
              <w:rPr>
                <w:rFonts w:ascii="Arial" w:cs="Arial" w:eastAsia="Arial" w:hAnsi="Arial"/>
                <w:sz w:val="19"/>
                <w:szCs w:val="19"/>
              </w:rPr>
              <w:t xml:space="preserve">Meets specifications and is compatible with existing infrastructure</w:t>
            </w:r>
          </w:p>
        </w:tc>
        <w:tc>
          <w:tcPr>
            <w:tcW w:type="dxa" w:w="18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30</w:t>
            </w:r>
          </w:p>
        </w:tc>
      </w:tr>
      <w:tr>
        <w:trPr>
          <w:tblHeader w:val="off"/>
        </w:trPr>
        <w:tc>
          <w:tcPr>
            <w:tcW w:type="dxa" w:w="75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left"/>
            </w:pPr>
            <w:r>
              <w:rPr>
                <w:rFonts w:ascii="Arial" w:cs="Arial" w:eastAsia="Arial" w:hAnsi="Arial"/>
                <w:sz w:val="19"/>
                <w:szCs w:val="19"/>
              </w:rPr>
              <w:t xml:space="preserve">Local support: certified staff within 50 miles of Des Moines, Iowa, and response time</w:t>
            </w:r>
          </w:p>
        </w:tc>
        <w:tc>
          <w:tcPr>
            <w:tcW w:type="dxa" w:w="18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20</w:t>
            </w:r>
          </w:p>
        </w:tc>
      </w:tr>
      <w:tr>
        <w:trPr>
          <w:tblHeader w:val="off"/>
        </w:trPr>
        <w:tc>
          <w:tcPr>
            <w:tcW w:type="dxa" w:w="75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left"/>
            </w:pPr>
            <w:r>
              <w:rPr>
                <w:rFonts w:ascii="Arial" w:cs="Arial" w:eastAsia="Arial" w:hAnsi="Arial"/>
                <w:sz w:val="19"/>
                <w:szCs w:val="19"/>
              </w:rPr>
              <w:t xml:space="preserve">Experience with similar K-12 projects, with references</w:t>
            </w:r>
          </w:p>
        </w:tc>
        <w:tc>
          <w:tcPr>
            <w:tcW w:type="dxa" w:w="18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jc w:val="center"/>
            </w:pPr>
            <w:r>
              <w:rPr>
                <w:rFonts w:ascii="Arial" w:cs="Arial" w:eastAsia="Arial" w:hAnsi="Arial"/>
                <w:sz w:val="19"/>
                <w:szCs w:val="19"/>
              </w:rPr>
              <w:t xml:space="preserve">10</w:t>
            </w:r>
          </w:p>
        </w:tc>
      </w:tr>
      <w:tr>
        <w:trPr>
          <w:tblHeader w:val="off"/>
        </w:trPr>
        <w:tc>
          <w:tcPr>
            <w:tcW w:type="dxa" w:w="7560"/>
            <w:tcBorders>
              <w:top w:val="single" w:color="A6A6A6" w:sz="4"/>
              <w:left w:val="single" w:color="A6A6A6" w:sz="4"/>
              <w:bottom w:val="single" w:color="A6A6A6" w:sz="4"/>
              <w:right w:val="single" w:color="A6A6A6" w:sz="4"/>
            </w:tcBorders>
            <w:shd w:fill="D9E1F2" w:color="auto" w:val="clear"/>
            <w:tcMar>
              <w:top w:type="dxa" w:w="60"/>
              <w:left w:type="dxa" w:w="100"/>
              <w:bottom w:type="dxa" w:w="60"/>
              <w:right w:type="dxa" w:w="100"/>
            </w:tcMar>
          </w:tcPr>
          <w:p>
            <w:pPr>
              <w:jc w:val="left"/>
            </w:pPr>
            <w:r>
              <w:rPr>
                <w:rFonts w:ascii="Arial" w:cs="Arial" w:eastAsia="Arial" w:hAnsi="Arial"/>
                <w:b/>
                <w:bCs/>
                <w:sz w:val="19"/>
                <w:szCs w:val="19"/>
              </w:rPr>
              <w:t xml:space="preserve">Total</w:t>
            </w:r>
          </w:p>
        </w:tc>
        <w:tc>
          <w:tcPr>
            <w:tcW w:type="dxa" w:w="1800"/>
            <w:tcBorders>
              <w:top w:val="single" w:color="A6A6A6" w:sz="4"/>
              <w:left w:val="single" w:color="A6A6A6" w:sz="4"/>
              <w:bottom w:val="single" w:color="A6A6A6" w:sz="4"/>
              <w:right w:val="single" w:color="A6A6A6" w:sz="4"/>
            </w:tcBorders>
            <w:shd w:fill="D9E1F2" w:color="auto" w:val="clear"/>
            <w:tcMar>
              <w:top w:type="dxa" w:w="60"/>
              <w:left w:type="dxa" w:w="100"/>
              <w:bottom w:type="dxa" w:w="60"/>
              <w:right w:type="dxa" w:w="100"/>
            </w:tcMar>
          </w:tcPr>
          <w:p>
            <w:pPr>
              <w:jc w:val="center"/>
            </w:pPr>
            <w:r>
              <w:rPr>
                <w:rFonts w:ascii="Arial" w:cs="Arial" w:eastAsia="Arial" w:hAnsi="Arial"/>
                <w:b/>
                <w:bCs/>
                <w:sz w:val="19"/>
                <w:szCs w:val="19"/>
              </w:rPr>
              <w:t xml:space="preserve">100</w:t>
            </w:r>
          </w:p>
        </w:tc>
      </w:tr>
    </w:tbl>
    <w:p>
      <w:pPr>
        <w:spacing w:after="60"/>
      </w:pPr>
    </w:p>
    <w:p>
      <w:pPr>
        <w:spacing w:after="120"/>
      </w:pPr>
      <w:r>
        <w:rPr>
          <w:rFonts w:ascii="Arial" w:cs="Arial" w:eastAsia="Arial" w:hAnsi="Arial"/>
          <w:sz w:val="21"/>
          <w:szCs w:val="21"/>
        </w:rPr>
        <w:t xml:space="preserve">Price is the primary factor and is weighted more heavily than any other single criterion.</w:t>
      </w:r>
    </w:p>
    <w:p>
      <w:pPr>
        <w:pStyle w:val="Heading2"/>
        <w:spacing w:after="100" w:before="200"/>
      </w:pPr>
      <w:r>
        <w:rPr>
          <w:rFonts w:ascii="Arial" w:cs="Arial" w:eastAsia="Arial" w:hAnsi="Arial"/>
          <w:b/>
          <w:bCs/>
          <w:color w:val="1F3864"/>
          <w:sz w:val="23"/>
          <w:szCs w:val="23"/>
        </w:rPr>
        <w:t xml:space="preserve">Attachments</w:t>
      </w:r>
    </w:p>
    <w:p>
      <w:pPr>
        <w:pStyle w:val="ListParagraph"/>
        <w:numPr>
          <w:ilvl w:val="0"/>
          <w:numId w:val="2"/>
        </w:numPr>
        <w:spacing w:after="80"/>
      </w:pPr>
      <w:r>
        <w:rPr>
          <w:rFonts w:ascii="Arial" w:cs="Arial" w:eastAsia="Arial" w:hAnsi="Arial"/>
          <w:sz w:val="21"/>
          <w:szCs w:val="21"/>
        </w:rPr>
        <w:t xml:space="preserve">Attachment A – Pricing Form (WDMCSD_L2_Switch_Pricing_Form.xlsx)</w:t>
      </w:r>
    </w:p>
    <w:sectPr>
      <w:footerReference w:type="default" r:id="rId6"/>
      <w:pgSz w:w="12240" w:h="15840" w:orient="portrait"/>
      <w:pgMar w:top="1080" w:right="1440" w:bottom="108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F7F7F"/>
        <w:sz w:val="16"/>
        <w:szCs w:val="16"/>
      </w:rPr>
      <w:t xml:space="preserve">WDMCSD – E-rate FY2027 Layer 2 Switch Replacement RFP – Page </w:t>
    </w:r>
    <w:r>
      <w:rPr>
        <w:rFonts w:ascii="Arial" w:cs="Arial" w:eastAsia="Arial" w:hAnsi="Arial"/>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rPr>
        <w:rFonts w:ascii="Arial" w:cs="Arial" w:eastAsia="Arial" w:hAnsi="Arial"/>
      </w:rPr>
    </w:lvl>
  </w:abstractNum>
  <w:abstractNum w:abstractNumId="3" w15:restartNumberingAfterBreak="0">
    <w:multiLevelType w:val="hybridMultilevel"/>
    <w:lvl w:ilvl="0" w:tentative="1">
      <w:start w:val="1"/>
      <w:numFmt w:val="decimal"/>
      <w:lvlText w:val="%1."/>
      <w:lvlJc w:val="left"/>
      <w:pPr>
        <w:ind w:left="540" w:hanging="360"/>
      </w:pPr>
      <w:rPr>
        <w:rFonts w:ascii="Arial" w:cs="Arial" w:eastAsia="Arial" w:hAnsi="Arial"/>
        <w:sz w:val="21"/>
        <w:szCs w:val="21"/>
      </w:rPr>
    </w:lvl>
  </w:abstractNum>
  <w:abstractNum w:abstractNumId="4" w15:restartNumberingAfterBreak="0">
    <w:multiLevelType w:val="hybridMultilevel"/>
    <w:lvl w:ilvl="0" w:tentative="1">
      <w:start w:val="1"/>
      <w:numFmt w:val="decimal"/>
      <w:lvlText w:val="%1."/>
      <w:lvlJc w:val="left"/>
      <w:pPr>
        <w:ind w:left="540" w:hanging="360"/>
      </w:pPr>
      <w:rPr>
        <w:rFonts w:ascii="Arial" w:cs="Arial" w:eastAsia="Arial" w:hAnsi="Arial"/>
        <w:sz w:val="21"/>
        <w:szCs w:val="21"/>
      </w:rPr>
    </w:lvl>
  </w:abstractNum>
  <w:abstractNum w:abstractNumId="5" w15:restartNumberingAfterBreak="0">
    <w:multiLevelType w:val="hybridMultilevel"/>
    <w:lvl w:ilvl="0" w:tentative="1">
      <w:start w:val="1"/>
      <w:numFmt w:val="decimal"/>
      <w:lvlText w:val="%1."/>
      <w:lvlJc w:val="left"/>
      <w:pPr>
        <w:ind w:left="540" w:hanging="360"/>
      </w:pPr>
      <w:rPr>
        <w:rFonts w:ascii="Arial" w:cs="Arial" w:eastAsia="Arial" w:hAnsi="Arial"/>
        <w:sz w:val="21"/>
        <w:szCs w:val="21"/>
      </w:rPr>
    </w:lvl>
  </w:abstractNum>
  <w:abstractNum w:abstractNumId="6" w15:restartNumberingAfterBreak="0">
    <w:multiLevelType w:val="hybridMultilevel"/>
    <w:lvl w:ilvl="0" w:tentative="1">
      <w:start w:val="1"/>
      <w:numFmt w:val="decimal"/>
      <w:lvlText w:val="%1."/>
      <w:lvlJc w:val="left"/>
      <w:pPr>
        <w:ind w:left="540" w:hanging="360"/>
      </w:pPr>
      <w:rPr>
        <w:rFonts w:ascii="Arial" w:cs="Arial" w:eastAsia="Arial" w:hAnsi="Arial"/>
        <w:sz w:val="21"/>
        <w:szCs w:val="21"/>
      </w:rPr>
    </w:lvl>
  </w:abstractNum>
  <w:abstractNum w:abstractNumId="7" w15:restartNumberingAfterBreak="0">
    <w:multiLevelType w:val="hybridMultilevel"/>
    <w:lvl w:ilvl="0" w:tentative="1">
      <w:start w:val="1"/>
      <w:numFmt w:val="decimal"/>
      <w:lvlText w:val="%1."/>
      <w:lvlJc w:val="left"/>
      <w:pPr>
        <w:ind w:left="540" w:hanging="360"/>
      </w:pPr>
      <w:rPr>
        <w:rFonts w:ascii="Arial" w:cs="Arial" w:eastAsia="Arial" w:hAnsi="Arial"/>
        <w:sz w:val="21"/>
        <w:szCs w:val="21"/>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2026-10-20T15:14:51.768Z</dcterms:created>
  <dcterms:modified xsi:type="dcterms:W3CDTF">2026-10-20T15:14:51.769Z</dcterms:modified>
</cp:coreProperties>
</file>

<file path=docProps/custom.xml><?xml version="1.0" encoding="utf-8"?>
<Properties xmlns="http://schemas.openxmlformats.org/officeDocument/2006/custom-properties" xmlns:vt="http://schemas.openxmlformats.org/officeDocument/2006/docPropsVTypes"/>
</file>