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B880" w14:textId="77777777" w:rsidR="00DB0CFE" w:rsidRDefault="00847C02">
      <w:pPr>
        <w:pStyle w:val="Heading1"/>
        <w:spacing w:before="0" w:after="120" w:line="275" w:lineRule="auto"/>
        <w:rPr>
          <w:color w:val="1F1F1F"/>
        </w:rPr>
      </w:pPr>
      <w:r>
        <w:rPr>
          <w:color w:val="1F1F1F"/>
        </w:rPr>
        <w:t>REQUEST FOR PROPOSAL (RFP)</w:t>
      </w:r>
    </w:p>
    <w:p w14:paraId="4FDEC417" w14:textId="77777777" w:rsidR="00DB0CFE" w:rsidRDefault="00847C02">
      <w:pPr>
        <w:pStyle w:val="Heading2"/>
        <w:spacing w:before="0" w:after="120" w:line="275" w:lineRule="auto"/>
        <w:rPr>
          <w:color w:val="1F1F1F"/>
        </w:rPr>
      </w:pPr>
      <w:r>
        <w:rPr>
          <w:color w:val="1F1F1F"/>
        </w:rPr>
        <w:t>E-RATE FUNDING YEAR 2027–2028</w:t>
      </w:r>
    </w:p>
    <w:p w14:paraId="30158C09" w14:textId="77777777" w:rsidR="00DB0CFE" w:rsidRDefault="00847C02">
      <w:pPr>
        <w:pStyle w:val="Heading3"/>
        <w:spacing w:before="0" w:after="120" w:line="275" w:lineRule="auto"/>
        <w:rPr>
          <w:color w:val="1F1F1F"/>
        </w:rPr>
      </w:pPr>
      <w:r>
        <w:rPr>
          <w:color w:val="1F1F1F"/>
        </w:rPr>
        <w:t>CATEGORY 2: NETWORK EQUIPMENT, FIREWALL, INSTALLATION, AND SETUP SERVICES</w:t>
      </w:r>
    </w:p>
    <w:p w14:paraId="45A9FB67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b/>
          <w:bCs/>
          <w:color w:val="1F1F1F"/>
        </w:rPr>
        <w:t>RFP Identifier:</w:t>
      </w:r>
      <w:r>
        <w:rPr>
          <w:color w:val="1F1F1F"/>
        </w:rPr>
        <w:t xml:space="preserve"> FY2027-C2-EQUIP-01</w:t>
      </w:r>
    </w:p>
    <w:p w14:paraId="251E78DC" w14:textId="763BF8B1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  <w:highlight w:val="yellow"/>
        </w:rPr>
      </w:pPr>
      <w:r>
        <w:rPr>
          <w:b/>
          <w:bCs/>
          <w:color w:val="1F1F1F"/>
        </w:rPr>
        <w:t>FCC Form 470 Application Number:</w:t>
      </w:r>
      <w:r>
        <w:rPr>
          <w:color w:val="1F1F1F"/>
        </w:rPr>
        <w:t xml:space="preserve"> </w:t>
      </w:r>
      <w:r w:rsidR="00747797" w:rsidRPr="00747797">
        <w:rPr>
          <w:color w:val="1F1F1F"/>
        </w:rPr>
        <w:t>270002115</w:t>
      </w:r>
    </w:p>
    <w:p w14:paraId="1D0F4C9E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b/>
          <w:bCs/>
          <w:color w:val="1F1F1F"/>
        </w:rPr>
        <w:t>Applicant Name:</w:t>
      </w:r>
      <w:r>
        <w:rPr>
          <w:color w:val="1F1F1F"/>
        </w:rPr>
        <w:t xml:space="preserve"> HANNIBAL SCHOOL DISTRICT 60</w:t>
      </w:r>
    </w:p>
    <w:p w14:paraId="6EFB01D1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b/>
          <w:bCs/>
          <w:color w:val="1F1F1F"/>
        </w:rPr>
        <w:t>Billed Entity Number (BEN):</w:t>
      </w:r>
      <w:r>
        <w:rPr>
          <w:color w:val="1F1F1F"/>
        </w:rPr>
        <w:t xml:space="preserve"> 136960</w:t>
      </w:r>
    </w:p>
    <w:p w14:paraId="2E81A683" w14:textId="241BE2C2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  <w:highlight w:val="yellow"/>
        </w:rPr>
      </w:pPr>
      <w:r>
        <w:rPr>
          <w:b/>
          <w:bCs/>
          <w:color w:val="1F1F1F"/>
        </w:rPr>
        <w:t>Issue Date:</w:t>
      </w:r>
      <w:r w:rsidR="00747797" w:rsidRPr="00747797">
        <w:rPr>
          <w:color w:val="1F1F1F"/>
        </w:rPr>
        <w:t xml:space="preserve"> October 22, 2026</w:t>
      </w:r>
    </w:p>
    <w:p w14:paraId="3EDDC588" w14:textId="3029777E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  <w:highlight w:val="yellow"/>
        </w:rPr>
      </w:pPr>
      <w:r>
        <w:rPr>
          <w:b/>
          <w:bCs/>
          <w:color w:val="1F1F1F"/>
        </w:rPr>
        <w:t>Questions Due Date</w:t>
      </w:r>
      <w:r w:rsidRPr="00747797">
        <w:rPr>
          <w:b/>
          <w:bCs/>
          <w:color w:val="1F1F1F"/>
        </w:rPr>
        <w:t>:</w:t>
      </w:r>
      <w:r w:rsidRPr="00747797">
        <w:rPr>
          <w:color w:val="1F1F1F"/>
        </w:rPr>
        <w:t xml:space="preserve"> </w:t>
      </w:r>
      <w:r w:rsidR="00747797" w:rsidRPr="00747797">
        <w:rPr>
          <w:color w:val="1F1F1F"/>
        </w:rPr>
        <w:t xml:space="preserve">November 9, </w:t>
      </w:r>
      <w:proofErr w:type="gramStart"/>
      <w:r w:rsidR="00747797" w:rsidRPr="00747797">
        <w:rPr>
          <w:color w:val="1F1F1F"/>
        </w:rPr>
        <w:t>2026</w:t>
      </w:r>
      <w:proofErr w:type="gramEnd"/>
      <w:r w:rsidR="00747797" w:rsidRPr="00747797">
        <w:rPr>
          <w:color w:val="1F1F1F"/>
        </w:rPr>
        <w:t xml:space="preserve"> to John Watkins at jwatkins@hannibal60.com</w:t>
      </w:r>
    </w:p>
    <w:p w14:paraId="5CEFD95B" w14:textId="38499523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  <w:highlight w:val="yellow"/>
        </w:rPr>
      </w:pPr>
      <w:r>
        <w:rPr>
          <w:b/>
          <w:bCs/>
          <w:color w:val="1F1F1F"/>
        </w:rPr>
        <w:t>Bid Submission Deadline:</w:t>
      </w:r>
      <w:r>
        <w:rPr>
          <w:color w:val="1F1F1F"/>
        </w:rPr>
        <w:t xml:space="preserve"> </w:t>
      </w:r>
      <w:r w:rsidR="00747797" w:rsidRPr="00747797">
        <w:rPr>
          <w:color w:val="1F1F1F"/>
        </w:rPr>
        <w:t xml:space="preserve">November 19, </w:t>
      </w:r>
      <w:proofErr w:type="gramStart"/>
      <w:r w:rsidR="00747797" w:rsidRPr="00747797">
        <w:rPr>
          <w:color w:val="1F1F1F"/>
        </w:rPr>
        <w:t>2026</w:t>
      </w:r>
      <w:proofErr w:type="gramEnd"/>
      <w:r w:rsidR="00747797" w:rsidRPr="00747797">
        <w:rPr>
          <w:color w:val="1F1F1F"/>
        </w:rPr>
        <w:t xml:space="preserve"> to John Watkins at jwatkins@hannibal60.com</w:t>
      </w:r>
    </w:p>
    <w:p w14:paraId="787267EC" w14:textId="77777777" w:rsidR="00DB0CFE" w:rsidRDefault="00847C02">
      <w:pPr>
        <w:pStyle w:val="Heading2"/>
        <w:spacing w:before="0" w:after="120" w:line="275" w:lineRule="auto"/>
        <w:rPr>
          <w:color w:val="1F1F1F"/>
        </w:rPr>
      </w:pPr>
      <w:r>
        <w:rPr>
          <w:color w:val="1F1F1F"/>
        </w:rPr>
        <w:t>1. STATEMENT OF PURPOSE &amp; SCOPE OF WORK</w:t>
      </w:r>
    </w:p>
    <w:p w14:paraId="5809D034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The Applicant is seeking competitive proposals for E-Rate Category 2 eligible internal connections equipment, licensing, installation, and setup services for Funding Year 2027–2028 (July 1, 2027 – June 30, 2028).</w:t>
      </w:r>
    </w:p>
    <w:p w14:paraId="0B854451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The objective of this procurement is to upgrade campus core, aggregation, and access network switching alongside the primary perimeter firewall infrastructure.</w:t>
      </w:r>
    </w:p>
    <w:p w14:paraId="129AA0B5" w14:textId="77777777" w:rsidR="00DB0CFE" w:rsidRDefault="00847C02">
      <w:pPr>
        <w:pStyle w:val="Heading3"/>
        <w:spacing w:before="0" w:after="120" w:line="275" w:lineRule="auto"/>
        <w:rPr>
          <w:color w:val="1F1F1F"/>
        </w:rPr>
      </w:pPr>
      <w:r>
        <w:rPr>
          <w:color w:val="1F1F1F"/>
        </w:rPr>
        <w:t>1.1 Technical Architecture Overview</w:t>
      </w:r>
    </w:p>
    <w:p w14:paraId="51140BF5" w14:textId="77777777" w:rsidR="00DB0CFE" w:rsidRDefault="00847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Switching Infrastructure:</w:t>
      </w:r>
      <w:r>
        <w:rPr>
          <w:color w:val="1F1F1F"/>
        </w:rPr>
        <w:t xml:space="preserve"> Desired baseline architecture utilizes current-generation </w:t>
      </w:r>
      <w:r>
        <w:rPr>
          <w:b/>
          <w:bCs/>
          <w:color w:val="1F1F1F"/>
        </w:rPr>
        <w:t>HPE Aruba</w:t>
      </w:r>
      <w:r>
        <w:rPr>
          <w:color w:val="1F1F1F"/>
        </w:rPr>
        <w:t xml:space="preserve"> enterprise switching hardware (or equivalent) delivering:</w:t>
      </w:r>
    </w:p>
    <w:p w14:paraId="091B856E" w14:textId="21516C0C" w:rsidR="00DB0CFE" w:rsidRDefault="00847C0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 xml:space="preserve">Minimum </w:t>
      </w:r>
      <w:r>
        <w:rPr>
          <w:b/>
          <w:bCs/>
          <w:color w:val="1F1F1F"/>
        </w:rPr>
        <w:t>24</w:t>
      </w:r>
      <w:r w:rsidR="00FF65AE">
        <w:rPr>
          <w:b/>
          <w:bCs/>
          <w:color w:val="1F1F1F"/>
        </w:rPr>
        <w:t>-port</w:t>
      </w:r>
      <w:r>
        <w:rPr>
          <w:b/>
          <w:bCs/>
          <w:color w:val="1F1F1F"/>
        </w:rPr>
        <w:t xml:space="preserve"> SFP+ (1G/10G)</w:t>
      </w:r>
      <w:r>
        <w:rPr>
          <w:color w:val="1F1F1F"/>
        </w:rPr>
        <w:t xml:space="preserve"> fiber/copper aggregation ports.</w:t>
      </w:r>
    </w:p>
    <w:p w14:paraId="7FDA951D" w14:textId="4101795F" w:rsidR="00DB0CFE" w:rsidRDefault="00847C0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 xml:space="preserve">Minimum </w:t>
      </w:r>
      <w:r>
        <w:rPr>
          <w:b/>
          <w:bCs/>
          <w:color w:val="1F1F1F"/>
        </w:rPr>
        <w:t>120</w:t>
      </w:r>
      <w:r w:rsidR="00FF65AE">
        <w:rPr>
          <w:b/>
          <w:bCs/>
          <w:color w:val="1F1F1F"/>
        </w:rPr>
        <w:t>-port</w:t>
      </w:r>
      <w:r>
        <w:rPr>
          <w:b/>
          <w:bCs/>
          <w:color w:val="1F1F1F"/>
        </w:rPr>
        <w:t xml:space="preserve"> Gigabit Ethernet (10/100/1000Base-T) RJ-45</w:t>
      </w:r>
      <w:r>
        <w:rPr>
          <w:color w:val="1F1F1F"/>
        </w:rPr>
        <w:t xml:space="preserve"> access ports with PoE+ (IEEE 802.3at/802.3bt).</w:t>
      </w:r>
    </w:p>
    <w:p w14:paraId="7F9776A9" w14:textId="77777777" w:rsidR="00DB0CFE" w:rsidRDefault="00847C0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 xml:space="preserve">Built-in high availability and hardware redundancy (dual hot-swappable power supplies, redundant fans, and virtual </w:t>
      </w:r>
      <w:r>
        <w:rPr>
          <w:color w:val="1F1F1F"/>
        </w:rPr>
        <w:lastRenderedPageBreak/>
        <w:t>chassis/stacking capabilities).</w:t>
      </w:r>
    </w:p>
    <w:p w14:paraId="70B03EC8" w14:textId="77777777" w:rsidR="00DB0CFE" w:rsidRDefault="00847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Perimeter Security Appliance:</w:t>
      </w:r>
      <w:r>
        <w:rPr>
          <w:color w:val="1F1F1F"/>
        </w:rPr>
        <w:t xml:space="preserve"> Desired baseline solution utilizes a </w:t>
      </w:r>
      <w:r>
        <w:rPr>
          <w:b/>
          <w:bCs/>
          <w:color w:val="1F1F1F"/>
        </w:rPr>
        <w:t>Fortinet FortiGate</w:t>
      </w:r>
      <w:r>
        <w:rPr>
          <w:color w:val="1F1F1F"/>
        </w:rPr>
        <w:t xml:space="preserve"> security appliance (or equivalent) capable of delivering a minimum of </w:t>
      </w:r>
      <w:r>
        <w:rPr>
          <w:b/>
          <w:bCs/>
          <w:color w:val="1F1F1F"/>
        </w:rPr>
        <w:t>5 Gbps Threat Protection / NGFW throughput</w:t>
      </w:r>
      <w:r>
        <w:rPr>
          <w:color w:val="1F1F1F"/>
        </w:rPr>
        <w:t xml:space="preserve"> with full security inspection enabled.</w:t>
      </w:r>
    </w:p>
    <w:p w14:paraId="34657592" w14:textId="77777777" w:rsidR="00DB0CFE" w:rsidRDefault="00847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b/>
          <w:bCs/>
          <w:color w:val="1F1F1F"/>
        </w:rPr>
        <w:t>Services:</w:t>
      </w:r>
      <w:r>
        <w:rPr>
          <w:color w:val="1F1F1F"/>
        </w:rPr>
        <w:t xml:space="preserve"> Professional turnkey installation, physical mounting, structured cable patch connections, logical configuration, failover testing, system turn-up, and documentation.</w:t>
      </w:r>
    </w:p>
    <w:p w14:paraId="335C1FB5" w14:textId="77777777" w:rsidR="00DB0CFE" w:rsidRDefault="00847C02">
      <w:pPr>
        <w:pStyle w:val="Heading3"/>
        <w:spacing w:before="120" w:after="120" w:line="275" w:lineRule="auto"/>
        <w:rPr>
          <w:color w:val="1F1F1F"/>
        </w:rPr>
      </w:pPr>
      <w:r>
        <w:rPr>
          <w:color w:val="1F1F1F"/>
        </w:rPr>
        <w:t>1.2 Vendor Scope &amp; Single-Vendor Preference</w:t>
      </w:r>
    </w:p>
    <w:p w14:paraId="70392909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b/>
          <w:bCs/>
          <w:color w:val="1F1F1F"/>
        </w:rPr>
      </w:pPr>
      <w:r>
        <w:rPr>
          <w:color w:val="1F1F1F"/>
        </w:rPr>
        <w:t xml:space="preserve">To ensure seamless interoperability, single-point accountability, and streamlined project management during deployment, </w:t>
      </w:r>
      <w:r>
        <w:rPr>
          <w:b/>
          <w:bCs/>
          <w:color w:val="1F1F1F"/>
        </w:rPr>
        <w:t>preference will be given to vendors capable of supplying 100% of the requested hardware, software, licensing, and professional installation services under a single award.</w:t>
      </w:r>
    </w:p>
    <w:p w14:paraId="5BE826A5" w14:textId="77777777" w:rsidR="00DB0CFE" w:rsidRDefault="00847C02">
      <w:pPr>
        <w:pStyle w:val="Heading2"/>
        <w:spacing w:before="0" w:after="120" w:line="275" w:lineRule="auto"/>
        <w:rPr>
          <w:color w:val="1F1F1F"/>
        </w:rPr>
      </w:pPr>
      <w:r>
        <w:rPr>
          <w:color w:val="1F1F1F"/>
        </w:rPr>
        <w:t>2. GENERAL E-RATE INSTRUCTIONS &amp; COMPLIANCE</w:t>
      </w:r>
    </w:p>
    <w:p w14:paraId="741F62D4" w14:textId="77777777" w:rsidR="00DB0CFE" w:rsidRDefault="00847C0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E-Rate Eligibility:</w:t>
      </w:r>
      <w:r>
        <w:rPr>
          <w:color w:val="1F1F1F"/>
        </w:rPr>
        <w:t xml:space="preserve"> All requested equipment and services must be eligible under USAC E-Rate Category 2 guidelines for FY2027–2028. Any non-eligible hardware, software, or service components must be clearly identified and cost-allocated separately in the bid response.</w:t>
      </w:r>
    </w:p>
    <w:p w14:paraId="731F4584" w14:textId="77777777" w:rsidR="00DB0CFE" w:rsidRDefault="00847C0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SPIN Requirement:</w:t>
      </w:r>
      <w:r>
        <w:rPr>
          <w:color w:val="1F1F1F"/>
        </w:rPr>
        <w:t xml:space="preserve"> Bidders must possess a valid, active Service Provider Identification Number (SPIN) and have an updated FCC Form 473 (Service Provider Annual Certification) on file with USAC.</w:t>
      </w:r>
    </w:p>
    <w:p w14:paraId="11BAC561" w14:textId="77777777" w:rsidR="00DB0CFE" w:rsidRDefault="00847C0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Equivalent Products ("Or Equivalent"):</w:t>
      </w:r>
      <w:r>
        <w:rPr>
          <w:color w:val="1F1F1F"/>
        </w:rPr>
        <w:t xml:space="preserve"> Manufacturer names, model numbers, and part numbers listed in this document indicate desired minimum standards of quality, feature sets, and performance. Bidders may propose functionally equivalent hardware/software provided they clearly prove parity in feature capabilities, management, and performance.</w:t>
      </w:r>
    </w:p>
    <w:p w14:paraId="4532C76C" w14:textId="77777777" w:rsidR="00DB0CFE" w:rsidRDefault="00847C0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Lowest Corresponding Price (LCP):</w:t>
      </w:r>
      <w:r>
        <w:rPr>
          <w:color w:val="1F1F1F"/>
        </w:rPr>
        <w:t xml:space="preserve"> Bidders must comply with the FCC’s LCP rule, guaranteeing that prices offered are no higher than the lowest price charged to non-E-Rate customers for similar services.</w:t>
      </w:r>
    </w:p>
    <w:p w14:paraId="48194204" w14:textId="77777777" w:rsidR="00DB0CFE" w:rsidRDefault="00847C0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b/>
          <w:bCs/>
          <w:color w:val="1F1F1F"/>
        </w:rPr>
        <w:t>Funding Contingency:</w:t>
      </w:r>
      <w:r>
        <w:rPr>
          <w:color w:val="1F1F1F"/>
        </w:rPr>
        <w:t xml:space="preserve"> Any contract resulting from this RFP is contingent upon E-Rate funding approval from the Universal Service Administrative Company (USAC) and authorization by the local governing board.</w:t>
      </w:r>
    </w:p>
    <w:p w14:paraId="0C066DBF" w14:textId="77777777" w:rsidR="00DB0CFE" w:rsidRDefault="00847C02">
      <w:pPr>
        <w:pStyle w:val="Heading2"/>
        <w:spacing w:before="120" w:after="120" w:line="275" w:lineRule="auto"/>
        <w:rPr>
          <w:color w:val="1F1F1F"/>
        </w:rPr>
      </w:pPr>
      <w:r>
        <w:rPr>
          <w:color w:val="1F1F1F"/>
        </w:rPr>
        <w:t>3. TECHNICAL &amp; HARDWARE SPECIFICATIONS</w:t>
      </w:r>
    </w:p>
    <w:p w14:paraId="6DACE724" w14:textId="77777777" w:rsidR="00DB0CFE" w:rsidRDefault="00847C02">
      <w:pPr>
        <w:pStyle w:val="Heading3"/>
        <w:spacing w:before="0" w:after="120" w:line="275" w:lineRule="auto"/>
        <w:rPr>
          <w:color w:val="1F1F1F"/>
        </w:rPr>
      </w:pPr>
      <w:r>
        <w:rPr>
          <w:color w:val="1F1F1F"/>
        </w:rPr>
        <w:t>Section A: Enterprise Switching Solution (HPE Aruba or Equivalent)</w:t>
      </w:r>
    </w:p>
    <w:p w14:paraId="1D2C371B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The switching architecture must be current-generation, enterprise-grade hardware and provide the following total port densities and functional performance across the network:</w:t>
      </w:r>
    </w:p>
    <w:p w14:paraId="444AD75B" w14:textId="0847201B" w:rsidR="00DB0CFE" w:rsidRDefault="00847C02">
      <w:pPr>
        <w:pStyle w:val="Heading4"/>
        <w:spacing w:before="0" w:after="120" w:line="275" w:lineRule="auto"/>
        <w:rPr>
          <w:color w:val="1F1F1F"/>
        </w:rPr>
      </w:pPr>
      <w:r>
        <w:rPr>
          <w:color w:val="1F1F1F"/>
        </w:rPr>
        <w:lastRenderedPageBreak/>
        <w:t>A1. Fiber Aggregation / Core Switch (24</w:t>
      </w:r>
      <w:r w:rsidR="00ED272F">
        <w:rPr>
          <w:color w:val="1F1F1F"/>
        </w:rPr>
        <w:t xml:space="preserve">- port </w:t>
      </w:r>
      <w:r>
        <w:rPr>
          <w:color w:val="1F1F1F"/>
        </w:rPr>
        <w:t>SFP+)</w:t>
      </w:r>
    </w:p>
    <w:p w14:paraId="0634A204" w14:textId="77777777" w:rsidR="00DB0CFE" w:rsidRDefault="00847C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Port Configuration:</w:t>
      </w:r>
      <w:r>
        <w:rPr>
          <w:color w:val="1F1F1F"/>
        </w:rPr>
        <w:t xml:space="preserve"> Minimum 24 X 1G/10G SFP+ optical/copper ports.</w:t>
      </w:r>
    </w:p>
    <w:p w14:paraId="2C3832C5" w14:textId="77777777" w:rsidR="00DB0CFE" w:rsidRDefault="00847C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Performance:</w:t>
      </w:r>
      <w:r>
        <w:rPr>
          <w:color w:val="1F1F1F"/>
        </w:rPr>
        <w:t xml:space="preserve"> Non-blocking switching fabric supporting wire-speed L2/L3 forwarding.</w:t>
      </w:r>
    </w:p>
    <w:p w14:paraId="030075B4" w14:textId="77777777" w:rsidR="00DB0CFE" w:rsidRDefault="00847C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High Availability &amp; Redundancy:</w:t>
      </w:r>
    </w:p>
    <w:p w14:paraId="43B02E77" w14:textId="77777777" w:rsidR="00DB0CFE" w:rsidRDefault="00847C0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 xml:space="preserve">Dual, hot-swappable AC power </w:t>
      </w:r>
      <w:proofErr w:type="gramStart"/>
      <w:r>
        <w:rPr>
          <w:color w:val="1F1F1F"/>
        </w:rPr>
        <w:t>supplies  power</w:t>
      </w:r>
      <w:proofErr w:type="gramEnd"/>
      <w:r>
        <w:rPr>
          <w:color w:val="1F1F1F"/>
        </w:rPr>
        <w:t xml:space="preserve"> redundancy.</w:t>
      </w:r>
    </w:p>
    <w:p w14:paraId="58F36E49" w14:textId="77777777" w:rsidR="00DB0CFE" w:rsidRDefault="00847C0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Redundant, field-replaceable fan modules.</w:t>
      </w:r>
    </w:p>
    <w:p w14:paraId="0DDADC4F" w14:textId="77777777" w:rsidR="00DB0CFE" w:rsidRDefault="00847C0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Hardware support for Virtual Switching Extension (VSX) or Virtual Switching Framework (VSF) for hitless control-plane failover and multi-chassis link aggregation (M-LAG).</w:t>
      </w:r>
    </w:p>
    <w:p w14:paraId="20428ADC" w14:textId="77777777" w:rsidR="00DB0CFE" w:rsidRDefault="00847C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Management &amp; Features:</w:t>
      </w:r>
      <w:r>
        <w:rPr>
          <w:color w:val="1F1F1F"/>
        </w:rPr>
        <w:t xml:space="preserve"> Full Layer 3 protocol suite (OSPF, BGP, Static Routing, VRF), telemetry, automated network analytics, and cloud/centralized management integration.</w:t>
      </w:r>
    </w:p>
    <w:p w14:paraId="33D5CA54" w14:textId="77777777" w:rsidR="00DB0CFE" w:rsidRDefault="00847C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b/>
          <w:bCs/>
          <w:color w:val="1F1F1F"/>
        </w:rPr>
        <w:t>Reference Equipment:</w:t>
      </w:r>
      <w:r>
        <w:rPr>
          <w:color w:val="1F1F1F"/>
        </w:rPr>
        <w:t xml:space="preserve"> HPE Aruba CX 6300M 24SFP+ Switch (JL658A / S0G03A) or equivalent.</w:t>
      </w:r>
    </w:p>
    <w:p w14:paraId="2BBFB908" w14:textId="289ED6F7" w:rsidR="00DB0CFE" w:rsidRDefault="00847C02">
      <w:pPr>
        <w:pStyle w:val="Heading4"/>
        <w:spacing w:before="120" w:after="120" w:line="275" w:lineRule="auto"/>
        <w:rPr>
          <w:color w:val="1F1F1F"/>
        </w:rPr>
      </w:pPr>
      <w:r>
        <w:rPr>
          <w:color w:val="1F1F1F"/>
        </w:rPr>
        <w:t>A2. Access Switches (120</w:t>
      </w:r>
      <w:r w:rsidR="00ED272F">
        <w:rPr>
          <w:color w:val="1F1F1F"/>
        </w:rPr>
        <w:t xml:space="preserve">-port </w:t>
      </w:r>
      <w:r>
        <w:rPr>
          <w:color w:val="1F1F1F"/>
        </w:rPr>
        <w:t xml:space="preserve">PoE+ </w:t>
      </w:r>
      <w:proofErr w:type="gramStart"/>
      <w:r>
        <w:rPr>
          <w:color w:val="1F1F1F"/>
        </w:rPr>
        <w:t>Gigabit )</w:t>
      </w:r>
      <w:proofErr w:type="gramEnd"/>
    </w:p>
    <w:p w14:paraId="752A2A71" w14:textId="77777777" w:rsidR="00DB0CFE" w:rsidRDefault="00847C0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Port Configuration:</w:t>
      </w:r>
      <w:r>
        <w:rPr>
          <w:color w:val="1F1F1F"/>
        </w:rPr>
        <w:t xml:space="preserve"> Minimum 120 x 10/100/1000Base-T PoE+ ports (typically satisfied via 3X 48-Port switches or equivalent chassis configuration).</w:t>
      </w:r>
    </w:p>
    <w:p w14:paraId="6DAB1647" w14:textId="77777777" w:rsidR="00DB0CFE" w:rsidRDefault="00847C0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Power over Ethernet:</w:t>
      </w:r>
      <w:r>
        <w:rPr>
          <w:color w:val="1F1F1F"/>
        </w:rPr>
        <w:t xml:space="preserve"> IEEE 802.3at PoE+ (minimum 30W per port) with sufficient power budget to support high-density Wi-Fi 6E/7 access points and IP surveillance.</w:t>
      </w:r>
    </w:p>
    <w:p w14:paraId="57828AEB" w14:textId="77777777" w:rsidR="00DB0CFE" w:rsidRDefault="00847C0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Uplinks &amp; Stacking:</w:t>
      </w:r>
      <w:r>
        <w:rPr>
          <w:color w:val="1F1F1F"/>
        </w:rPr>
        <w:t xml:space="preserve"> Minimum 4x 10G/25G SFP+ uplink ports per switch unit, with hardware stacking backplane support.</w:t>
      </w:r>
    </w:p>
    <w:p w14:paraId="46182D37" w14:textId="77777777" w:rsidR="00DB0CFE" w:rsidRDefault="00847C0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Redundancy:</w:t>
      </w:r>
      <w:r>
        <w:rPr>
          <w:color w:val="1F1F1F"/>
        </w:rPr>
        <w:t xml:space="preserve"> Modular secondary hot-swappable power supply support for redundant power and PoE power expansion.</w:t>
      </w:r>
    </w:p>
    <w:p w14:paraId="288B7AA3" w14:textId="77777777" w:rsidR="00DB0CFE" w:rsidRDefault="00847C0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b/>
          <w:bCs/>
          <w:color w:val="1F1F1F"/>
        </w:rPr>
        <w:t>Reference Equipment:</w:t>
      </w:r>
      <w:r>
        <w:rPr>
          <w:color w:val="1F1F1F"/>
        </w:rPr>
        <w:t xml:space="preserve"> HPE Aruba CX 6300M or 6200M 48-Port Class 4/6 PoE+ Switches (or equivalent).</w:t>
      </w:r>
    </w:p>
    <w:p w14:paraId="09EC8906" w14:textId="77777777" w:rsidR="00DB0CFE" w:rsidRDefault="00847C02">
      <w:pPr>
        <w:pStyle w:val="Heading4"/>
        <w:spacing w:before="120" w:after="120" w:line="275" w:lineRule="auto"/>
        <w:rPr>
          <w:color w:val="1F1F1F"/>
        </w:rPr>
      </w:pPr>
      <w:r>
        <w:rPr>
          <w:color w:val="1F1F1F"/>
        </w:rPr>
        <w:t>A3. Optical Transceivers &amp; Interconnects</w:t>
      </w:r>
    </w:p>
    <w:p w14:paraId="52515B6F" w14:textId="77777777" w:rsidR="00DB0CFE" w:rsidRDefault="00847C0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color w:val="1F1F1F"/>
        </w:rPr>
        <w:t>Provide all necessary 10G SFP+ SR optical transceivers and Direct Attach Copper (DAC) cables to link access switches to aggregation switches and firewall appliances.</w:t>
      </w:r>
    </w:p>
    <w:p w14:paraId="162D8A44" w14:textId="77777777" w:rsidR="00DB0CFE" w:rsidRDefault="00847C02">
      <w:pPr>
        <w:pStyle w:val="Heading3"/>
        <w:spacing w:before="120" w:after="120" w:line="275" w:lineRule="auto"/>
        <w:rPr>
          <w:color w:val="1F1F1F"/>
        </w:rPr>
      </w:pPr>
      <w:r>
        <w:rPr>
          <w:color w:val="1F1F1F"/>
        </w:rPr>
        <w:t>Section B: Next-Generation Firewall Solution (Fortinet FortiGate or Equivalent)</w:t>
      </w:r>
    </w:p>
    <w:p w14:paraId="6C1E1D7B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The security appliance must deliver enterprise-grade threat protection and core routing capabilities at the network perimeter.</w:t>
      </w:r>
    </w:p>
    <w:p w14:paraId="5A5DDC29" w14:textId="77777777" w:rsidR="00DB0CFE" w:rsidRDefault="00847C02">
      <w:pPr>
        <w:pStyle w:val="Heading4"/>
        <w:spacing w:before="0" w:after="120" w:line="275" w:lineRule="auto"/>
        <w:rPr>
          <w:color w:val="1F1F1F"/>
        </w:rPr>
      </w:pPr>
      <w:r>
        <w:rPr>
          <w:color w:val="1F1F1F"/>
        </w:rPr>
        <w:t>B1. Security Appliance Requirements</w:t>
      </w:r>
    </w:p>
    <w:p w14:paraId="5DD40110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Throughput Standards:</w:t>
      </w:r>
      <w:r>
        <w:rPr>
          <w:color w:val="1F1F1F"/>
        </w:rPr>
        <w:t xml:space="preserve"> Minimum </w:t>
      </w:r>
      <w:r>
        <w:rPr>
          <w:b/>
          <w:bCs/>
          <w:color w:val="1F1F1F"/>
        </w:rPr>
        <w:t>5 Gbps Threat Protection / NGFW Throughput</w:t>
      </w:r>
      <w:r>
        <w:rPr>
          <w:color w:val="1F1F1F"/>
        </w:rPr>
        <w:t xml:space="preserve"> with Application Control, Intrusion Prevention (IPS), Antivirus, and SSL/TLS Deep Packet Inspection active.</w:t>
      </w:r>
    </w:p>
    <w:p w14:paraId="2939996E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lastRenderedPageBreak/>
        <w:t>Network Interfaces:</w:t>
      </w:r>
    </w:p>
    <w:p w14:paraId="21BFE9E7" w14:textId="77777777" w:rsidR="00DB0CFE" w:rsidRDefault="00847C0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Minimum 2x 10GbE SFP+ WAN/LAN ports.</w:t>
      </w:r>
    </w:p>
    <w:p w14:paraId="5A7D0DB2" w14:textId="77777777" w:rsidR="00DB0CFE" w:rsidRDefault="00847C0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Minimum 8x 1GbE RJ-45 LAN ports.</w:t>
      </w:r>
    </w:p>
    <w:p w14:paraId="0A834A26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High Availability:</w:t>
      </w:r>
      <w:r>
        <w:rPr>
          <w:color w:val="1F1F1F"/>
        </w:rPr>
        <w:t xml:space="preserve"> Hardware support for Active-Passive and Active-Active stateful failover configurations.</w:t>
      </w:r>
    </w:p>
    <w:p w14:paraId="69C0372B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Redundancy:</w:t>
      </w:r>
      <w:r>
        <w:rPr>
          <w:color w:val="1F1F1F"/>
        </w:rPr>
        <w:t xml:space="preserve"> Dual internal AC power supplies.</w:t>
      </w:r>
    </w:p>
    <w:p w14:paraId="0E1162A3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Software &amp; Subscriptions:</w:t>
      </w:r>
      <w:r>
        <w:rPr>
          <w:color w:val="1F1F1F"/>
        </w:rPr>
        <w:t xml:space="preserve"> Include 1-Year (or multi-year matching contract term) Unified Threat Protection (UTP) or Enterprise Security Subscription including 24x7 vendor support, firmware updates, IPS, Antivirus, Web Filtering, and Application Control.</w:t>
      </w:r>
    </w:p>
    <w:p w14:paraId="4C01BDE9" w14:textId="77777777" w:rsidR="00DB0CFE" w:rsidRDefault="00847C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b/>
          <w:bCs/>
          <w:color w:val="1F1F1F"/>
        </w:rPr>
        <w:t>Reference Equipment:</w:t>
      </w:r>
      <w:r>
        <w:rPr>
          <w:color w:val="1F1F1F"/>
        </w:rPr>
        <w:t xml:space="preserve"> Fortinet FortiGate 200F / 400F Series (or current-generation equivalent model meeting or exceeding 5 Gbps Threat Protection throughput).</w:t>
      </w:r>
    </w:p>
    <w:p w14:paraId="79DF8469" w14:textId="77777777" w:rsidR="00DB0CFE" w:rsidRDefault="00847C02">
      <w:pPr>
        <w:pStyle w:val="Heading3"/>
        <w:spacing w:before="120" w:after="120" w:line="275" w:lineRule="auto"/>
        <w:rPr>
          <w:color w:val="1F1F1F"/>
        </w:rPr>
      </w:pPr>
      <w:r>
        <w:rPr>
          <w:color w:val="1F1F1F"/>
        </w:rPr>
        <w:t>Section C: Installation, Configuration, and Setup Services</w:t>
      </w:r>
    </w:p>
    <w:p w14:paraId="0EE79826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color w:val="1F1F1F"/>
        </w:rPr>
      </w:pPr>
      <w:r>
        <w:rPr>
          <w:color w:val="1F1F1F"/>
        </w:rPr>
        <w:t>The vendor must provide complete turnkey implementation services executed by vendor-certified engineers (e.g., Aruba ACMP/ACDX, Fortinet NSE 4/7 or equivalent).</w:t>
      </w:r>
    </w:p>
    <w:p w14:paraId="65C4A1C6" w14:textId="77777777" w:rsidR="00DB0CFE" w:rsidRDefault="00847C0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Physical Deployment:</w:t>
      </w:r>
    </w:p>
    <w:p w14:paraId="437F1D12" w14:textId="77777777" w:rsidR="00DB0CFE" w:rsidRDefault="00847C0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 xml:space="preserve">Unpack, inventory, </w:t>
      </w:r>
      <w:proofErr w:type="gramStart"/>
      <w:r>
        <w:rPr>
          <w:color w:val="1F1F1F"/>
        </w:rPr>
        <w:t>rack-mount</w:t>
      </w:r>
      <w:proofErr w:type="gramEnd"/>
      <w:r>
        <w:rPr>
          <w:color w:val="1F1F1F"/>
        </w:rPr>
        <w:t>, and ground all switches and firewall appliances in designated equipment racks.</w:t>
      </w:r>
    </w:p>
    <w:p w14:paraId="7E8B03D7" w14:textId="77777777" w:rsidR="00DB0CFE" w:rsidRDefault="00847C0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Neatly dress copper and fiber patch cords, install transceivers, and ensure proper cable management.</w:t>
      </w:r>
    </w:p>
    <w:p w14:paraId="361F5A2C" w14:textId="77777777" w:rsidR="00DB0CFE" w:rsidRDefault="00847C0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Logical Configuration:</w:t>
      </w:r>
    </w:p>
    <w:p w14:paraId="6BD3289E" w14:textId="77777777" w:rsidR="00DB0CFE" w:rsidRDefault="00847C0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Configure Layer 2 VLANs, standard Spanning Tree protocols (RSTP/MSTP), L3 subnets, dynamic routing protocols, and stacking/HA cluster topologies.</w:t>
      </w:r>
    </w:p>
    <w:p w14:paraId="1ECA1F0D" w14:textId="77777777" w:rsidR="00DB0CFE" w:rsidRDefault="00847C0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Configure Firewall WAN settings, NAT rules, Security Policies, Content Filtering, IPS profiles, and SSL VPN/IPsec remote access tunnels.</w:t>
      </w:r>
    </w:p>
    <w:p w14:paraId="4B15EDB2" w14:textId="77777777" w:rsidR="00DB0CFE" w:rsidRDefault="00847C0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Integrate administrative access with centralized authentication (RADIUS/TACACS+/LDAP).</w:t>
      </w:r>
    </w:p>
    <w:p w14:paraId="234C9371" w14:textId="77777777" w:rsidR="00DB0CFE" w:rsidRDefault="00847C0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Testing &amp; Commissioning:</w:t>
      </w:r>
    </w:p>
    <w:p w14:paraId="4BC11E5B" w14:textId="77777777" w:rsidR="00DB0CFE" w:rsidRDefault="00847C0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Perform failover validation (power supply unplug tests, stacking link cut tests, firewall HA failover).</w:t>
      </w:r>
    </w:p>
    <w:p w14:paraId="4AB66DC3" w14:textId="77777777" w:rsidR="00DB0CFE" w:rsidRDefault="00847C0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Perform throughput verification and internet connectivity testing.</w:t>
      </w:r>
    </w:p>
    <w:p w14:paraId="539DB079" w14:textId="77777777" w:rsidR="00DB0CFE" w:rsidRDefault="00847C0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Documentation &amp; Handoff:</w:t>
      </w:r>
    </w:p>
    <w:p w14:paraId="6387FB9B" w14:textId="77777777" w:rsidR="00DB0CFE" w:rsidRDefault="00847C0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Supply complete "As-Built" network topology diagrams, port mapping tables, configuration backup files, and serial number inventory lists.</w:t>
      </w:r>
    </w:p>
    <w:p w14:paraId="72CC477E" w14:textId="77777777" w:rsidR="00DB0CFE" w:rsidRDefault="00847C0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color w:val="1F1F1F"/>
        </w:rPr>
        <w:t>Conduct a 2-hour administration walkthrough and handoff session with District IT staff.</w:t>
      </w:r>
    </w:p>
    <w:p w14:paraId="21DF92FA" w14:textId="77777777" w:rsidR="00DB0CFE" w:rsidRDefault="00847C02">
      <w:pPr>
        <w:pStyle w:val="Heading2"/>
        <w:spacing w:before="120" w:after="120" w:line="275" w:lineRule="auto"/>
        <w:rPr>
          <w:color w:val="1F1F1F"/>
        </w:rPr>
      </w:pPr>
      <w:r>
        <w:rPr>
          <w:color w:val="1F1F1F"/>
        </w:rPr>
        <w:t>4. PRICING &amp; BID FORM</w:t>
      </w:r>
    </w:p>
    <w:p w14:paraId="1916515F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lastRenderedPageBreak/>
        <w:t xml:space="preserve">Bidders must present itemized pricing </w:t>
      </w:r>
      <w:proofErr w:type="gramStart"/>
      <w:r>
        <w:rPr>
          <w:color w:val="1F1F1F"/>
        </w:rPr>
        <w:t>similar to</w:t>
      </w:r>
      <w:proofErr w:type="gramEnd"/>
      <w:r>
        <w:rPr>
          <w:color w:val="1F1F1F"/>
        </w:rPr>
        <w:t xml:space="preserve"> the format below. Separate E-Rate Eligible costs from Ineligible costs.</w:t>
      </w:r>
    </w:p>
    <w:tbl>
      <w:tblPr>
        <w:tblStyle w:val="a"/>
        <w:tblW w:w="5000" w:type="pct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ook w:val="0600" w:firstRow="0" w:lastRow="0" w:firstColumn="0" w:lastColumn="0" w:noHBand="1" w:noVBand="1"/>
      </w:tblPr>
      <w:tblGrid>
        <w:gridCol w:w="1215"/>
        <w:gridCol w:w="1216"/>
        <w:gridCol w:w="1608"/>
        <w:gridCol w:w="1620"/>
        <w:gridCol w:w="1216"/>
        <w:gridCol w:w="1814"/>
        <w:gridCol w:w="1724"/>
        <w:gridCol w:w="2531"/>
      </w:tblGrid>
      <w:tr w:rsidR="00DB0CFE" w14:paraId="48B23001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3C671B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Line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4C3620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Qty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52FC2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Part Number / Model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C5FFEA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Detailed Description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7970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Price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6B1F98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 Eligible Cost</w:t>
            </w: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A801E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Ineligible Cost</w:t>
            </w: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5CF1B9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E-Rate Eligible (Y/N)</w:t>
            </w:r>
          </w:p>
        </w:tc>
      </w:tr>
      <w:tr w:rsidR="00DB0CFE" w14:paraId="51ADBC1B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E8827B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1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E2AD02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13F72D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JL658A </w:t>
            </w:r>
            <w:r>
              <w:rPr>
                <w:i/>
                <w:iCs/>
                <w:color w:val="1F1F1F"/>
              </w:rPr>
              <w:t xml:space="preserve">(or </w:t>
            </w:r>
            <w:proofErr w:type="spellStart"/>
            <w:r>
              <w:rPr>
                <w:i/>
                <w:iCs/>
                <w:color w:val="1F1F1F"/>
              </w:rPr>
              <w:t>equiv</w:t>
            </w:r>
            <w:proofErr w:type="spellEnd"/>
            <w:r>
              <w:rPr>
                <w:i/>
                <w:iCs/>
                <w:color w:val="1F1F1F"/>
              </w:rPr>
              <w:t>)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E3DD5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Aruba CX 6300M 24p SFP+ Aggregation Switch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96EEF7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5A6AB9" w14:textId="14CE6B9B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BD11C0" w14:textId="3285C1E8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5EC4B8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573E2FB2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163BEA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2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054D43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3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71C13A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[48-Port Model]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0ECF9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Aruba CX 48G PoE+ Access Switch </w:t>
            </w:r>
            <w:r>
              <w:rPr>
                <w:i/>
                <w:iCs/>
                <w:color w:val="1F1F1F"/>
              </w:rPr>
              <w:t xml:space="preserve">(or </w:t>
            </w:r>
            <w:proofErr w:type="spellStart"/>
            <w:r>
              <w:rPr>
                <w:i/>
                <w:iCs/>
                <w:color w:val="1F1F1F"/>
              </w:rPr>
              <w:t>equiv</w:t>
            </w:r>
            <w:proofErr w:type="spellEnd"/>
            <w:r>
              <w:rPr>
                <w:i/>
                <w:iCs/>
                <w:color w:val="1F1F1F"/>
              </w:rPr>
              <w:t>)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FE2DA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EE81D1" w14:textId="71C45A70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F6E061" w14:textId="506C9CB3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0ABE95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28134D8B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B8AA24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3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3DED3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X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6823E3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[PSU / Accessories]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359023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Secondary Redundant PSUs &amp; Stacking Modules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74BE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58D2A8" w14:textId="7CBBFA28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67822" w14:textId="4E02E8F5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8B88FD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6FA7B76E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929C40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4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0F30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X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F93594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[Optics / Cables]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95246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10G SFP+ Transceivers / DAC Uplink Cables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6034D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95978" w14:textId="2F5C231E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CA28C8" w14:textId="60AFDC10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B78D7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31751F43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34E34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5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011A5A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5CC19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FG-200F </w:t>
            </w:r>
            <w:r>
              <w:rPr>
                <w:i/>
                <w:iCs/>
                <w:color w:val="1F1F1F"/>
              </w:rPr>
              <w:t xml:space="preserve">(or </w:t>
            </w:r>
            <w:proofErr w:type="spellStart"/>
            <w:r>
              <w:rPr>
                <w:i/>
                <w:iCs/>
                <w:color w:val="1F1F1F"/>
              </w:rPr>
              <w:t>equiv</w:t>
            </w:r>
            <w:proofErr w:type="spellEnd"/>
            <w:r>
              <w:rPr>
                <w:i/>
                <w:iCs/>
                <w:color w:val="1F1F1F"/>
              </w:rPr>
              <w:t>)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7AAD78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FortiGate Next-Gen </w:t>
            </w:r>
            <w:r>
              <w:rPr>
                <w:color w:val="1F1F1F"/>
              </w:rPr>
              <w:lastRenderedPageBreak/>
              <w:t>Firewall (5 Gbps Threat)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5DAD9C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lastRenderedPageBreak/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A0B6C" w14:textId="71E312FB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F4E83A" w14:textId="559A4294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7DE98A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55867791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3D15CB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6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79FF63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474F82" w14:textId="7A1690D5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[License / Support]</w:t>
            </w:r>
            <w:r w:rsidR="00592D37">
              <w:rPr>
                <w:color w:val="1F1F1F"/>
              </w:rPr>
              <w:t xml:space="preserve"> 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C20032" w14:textId="39741AEC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proofErr w:type="spellStart"/>
            <w:r>
              <w:rPr>
                <w:color w:val="1F1F1F"/>
              </w:rPr>
              <w:t>FortiCare</w:t>
            </w:r>
            <w:proofErr w:type="spellEnd"/>
            <w:r>
              <w:rPr>
                <w:color w:val="1F1F1F"/>
              </w:rPr>
              <w:t xml:space="preserve"> 24x7 &amp; FortiGuard UTP Subscription</w:t>
            </w:r>
            <w:r w:rsidR="00592D37">
              <w:rPr>
                <w:color w:val="1F1F1F"/>
              </w:rPr>
              <w:t xml:space="preserve"> (or equiv)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8E736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EF00B5" w14:textId="676391F3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FAC6A4" w14:textId="19F90FC5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365D5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711CF856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A5D1B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7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A28E0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AEEE58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[Service Fee]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A7F0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Turnkey Professional Installation &amp; Setup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93B29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$</w:t>
            </w: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F967E" w14:textId="34276BE9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8D50B1" w14:textId="02DEB08B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5D65F3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</w:tr>
      <w:tr w:rsidR="00DB0CFE" w14:paraId="73A599D7" w14:textId="77777777" w:rsidTr="00592D37"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FEC0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</w:t>
            </w: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BDF0CE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CBCDDA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A4F4D2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508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50E0DA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739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EC664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$</w:t>
            </w:r>
          </w:p>
        </w:tc>
        <w:tc>
          <w:tcPr>
            <w:tcW w:w="704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9DB0D6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$</w:t>
            </w:r>
          </w:p>
        </w:tc>
        <w:tc>
          <w:tcPr>
            <w:tcW w:w="1016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95D8A9" w14:textId="77777777" w:rsidR="00DB0CFE" w:rsidRDefault="00DB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</w:tbl>
    <w:p w14:paraId="330BD421" w14:textId="77777777" w:rsidR="00DB0CFE" w:rsidRDefault="00847C02">
      <w:pPr>
        <w:pStyle w:val="Heading2"/>
        <w:spacing w:before="480" w:after="120" w:line="275" w:lineRule="auto"/>
        <w:rPr>
          <w:color w:val="1F1F1F"/>
        </w:rPr>
      </w:pPr>
      <w:r>
        <w:rPr>
          <w:color w:val="1F1F1F"/>
        </w:rPr>
        <w:t>5. EVALUATION CRITERIA AND MATRIX</w:t>
      </w:r>
    </w:p>
    <w:p w14:paraId="67D5B5C0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 xml:space="preserve">In compliance with FCC E-Rate rules (47 CFR § 54.511), the </w:t>
      </w:r>
      <w:r>
        <w:rPr>
          <w:b/>
          <w:bCs/>
          <w:color w:val="1F1F1F"/>
        </w:rPr>
        <w:t>Cost of E-Rate Eligible Products and Services</w:t>
      </w:r>
      <w:r>
        <w:rPr>
          <w:color w:val="1F1F1F"/>
        </w:rPr>
        <w:t xml:space="preserve"> will serve as the primary factor in the evaluation process, carrying the highest weight.</w:t>
      </w:r>
    </w:p>
    <w:p w14:paraId="0CAA76B2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Bids will be evaluated according to the following point matrix:</w:t>
      </w:r>
    </w:p>
    <w:tbl>
      <w:tblPr>
        <w:tblStyle w:val="a0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B0CFE" w14:paraId="2E5C825F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984C6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Criteria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B6E42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Maximum Points</w:t>
            </w:r>
          </w:p>
        </w:tc>
      </w:tr>
      <w:tr w:rsidR="00DB0CFE" w14:paraId="6CBE90FD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22FD5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Cost of E-Rate Eligible Products and Services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(Primary Factor)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F1D67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35 Points</w:t>
            </w:r>
          </w:p>
        </w:tc>
      </w:tr>
      <w:tr w:rsidR="00DB0CFE" w14:paraId="6256C2AB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CD255B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Single-Vendor Turnkey Solution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(Ability to supply 100% of hardware, licensing, and setup under one contract)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1F002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20 Points</w:t>
            </w:r>
          </w:p>
        </w:tc>
      </w:tr>
      <w:tr w:rsidR="00DB0CFE" w14:paraId="66595781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7711C8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Technical Compliance &amp; Hardware Performance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</w:t>
            </w:r>
            <w:r>
              <w:rPr>
                <w:color w:val="222222"/>
                <w:sz w:val="21"/>
                <w:szCs w:val="21"/>
                <w:highlight w:val="white"/>
              </w:rPr>
              <w:t>Compliance with the specifications and requirements identified in the RFP</w:t>
            </w:r>
            <w:r>
              <w:rPr>
                <w:i/>
                <w:iCs/>
                <w:color w:val="1F1F1F"/>
              </w:rPr>
              <w:t xml:space="preserve"> 5Gbps redundancy, port counts)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F20292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15 Points</w:t>
            </w:r>
          </w:p>
        </w:tc>
      </w:tr>
      <w:tr w:rsidR="00DB0CFE" w14:paraId="0DD47C83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EE01C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Vendor Qualifications, E-Rate Experience, &amp; References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684964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15 Points</w:t>
            </w:r>
          </w:p>
        </w:tc>
      </w:tr>
      <w:tr w:rsidR="00DB0CFE" w14:paraId="66A505AB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978BF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Implementation Timeline &amp; Scope of Work Plan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59F1FC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10 Points</w:t>
            </w:r>
          </w:p>
        </w:tc>
      </w:tr>
      <w:tr w:rsidR="00DB0CFE" w14:paraId="240BE42E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D76901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Ineligible Cost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43D2E" w14:textId="77777777" w:rsidR="00DB0CFE" w:rsidRDefault="0084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5 Points</w:t>
            </w:r>
          </w:p>
        </w:tc>
      </w:tr>
      <w:tr w:rsidR="00DB0CFE" w14:paraId="381BD03B" w14:textId="77777777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3D83B6" w14:textId="77777777" w:rsidR="00DB0CFE" w:rsidRDefault="00847C02">
            <w:pP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 SCORE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F2D681" w14:textId="77777777" w:rsidR="00DB0CFE" w:rsidRDefault="00847C02">
            <w:pP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100 Points</w:t>
            </w:r>
          </w:p>
        </w:tc>
      </w:tr>
    </w:tbl>
    <w:p w14:paraId="1E103835" w14:textId="77777777" w:rsidR="00DB0CFE" w:rsidRDefault="00847C02">
      <w:pPr>
        <w:pStyle w:val="Heading2"/>
        <w:spacing w:before="480" w:after="120" w:line="275" w:lineRule="auto"/>
        <w:rPr>
          <w:color w:val="1F1F1F"/>
        </w:rPr>
      </w:pPr>
      <w:r>
        <w:rPr>
          <w:color w:val="1F1F1F"/>
        </w:rPr>
        <w:t>6. PROPOSAL SUBMISSION INSTRUCTIONS</w:t>
      </w:r>
    </w:p>
    <w:p w14:paraId="6F491BBF" w14:textId="77777777" w:rsidR="00DB0CFE" w:rsidRDefault="00847C0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Submissions:</w:t>
      </w:r>
      <w:r>
        <w:rPr>
          <w:color w:val="1F1F1F"/>
        </w:rPr>
        <w:t xml:space="preserve"> Bids must be submitted via email in PDF format to </w:t>
      </w:r>
      <w:r>
        <w:rPr>
          <w:b/>
          <w:bCs/>
          <w:color w:val="1F1F1F"/>
        </w:rPr>
        <w:t>jwatkins@hannibal60.com</w:t>
      </w:r>
      <w:r>
        <w:rPr>
          <w:color w:val="1F1F1F"/>
        </w:rPr>
        <w:t>.</w:t>
      </w:r>
    </w:p>
    <w:p w14:paraId="62BA6E10" w14:textId="77777777" w:rsidR="00DB0CFE" w:rsidRDefault="00847C0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Subject Line Format:</w:t>
      </w:r>
      <w:r>
        <w:rPr>
          <w:color w:val="1F1F1F"/>
        </w:rPr>
        <w:t xml:space="preserve"> FY2027 Category 2 Proposal - [Vendor Name] - RFP FY2027-C2-EQUIP-01</w:t>
      </w:r>
    </w:p>
    <w:p w14:paraId="251D496F" w14:textId="48900DAE" w:rsidR="00DB0CFE" w:rsidRDefault="00847C0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Deadline:</w:t>
      </w:r>
      <w:r>
        <w:rPr>
          <w:color w:val="1F1F1F"/>
        </w:rPr>
        <w:t xml:space="preserve"> All proposals must be received no later than</w:t>
      </w:r>
      <w:r w:rsidR="00747797">
        <w:rPr>
          <w:color w:val="1F1F1F"/>
        </w:rPr>
        <w:t xml:space="preserve"> November 19, 2026.</w:t>
      </w:r>
    </w:p>
    <w:p w14:paraId="6F96F732" w14:textId="77777777" w:rsidR="00DB0CFE" w:rsidRDefault="00847C0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Required Enclosures:</w:t>
      </w:r>
    </w:p>
    <w:p w14:paraId="0D962B22" w14:textId="77777777" w:rsidR="00DB0CFE" w:rsidRDefault="00847C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Itemized Pricing Table (Section 4).</w:t>
      </w:r>
    </w:p>
    <w:p w14:paraId="55017577" w14:textId="77777777" w:rsidR="00DB0CFE" w:rsidRDefault="00847C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Valid Service Provider Identification Number (SPIN) &amp; Form 473 verification.</w:t>
      </w:r>
    </w:p>
    <w:p w14:paraId="34044653" w14:textId="77777777" w:rsidR="00DB0CFE" w:rsidRDefault="00847C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Three (3) K-12 or enterprise references for similar scope deployments.</w:t>
      </w:r>
    </w:p>
    <w:p w14:paraId="230AADCE" w14:textId="77777777" w:rsidR="00DB0CFE" w:rsidRDefault="00847C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color w:val="1F1F1F"/>
        </w:rPr>
        <w:t>Proposed Project Plan &amp; Scope of Work timeline.</w:t>
      </w:r>
    </w:p>
    <w:p w14:paraId="6BBA6E88" w14:textId="77777777" w:rsidR="00DB0CFE" w:rsidRDefault="00847C02">
      <w:pPr>
        <w:pStyle w:val="Heading2"/>
        <w:spacing w:before="120" w:after="120" w:line="275" w:lineRule="auto"/>
        <w:rPr>
          <w:color w:val="1F1F1F"/>
        </w:rPr>
      </w:pPr>
      <w:r>
        <w:rPr>
          <w:color w:val="1F1F1F"/>
        </w:rPr>
        <w:t>7. VENDOR CERTIFICATION FORM</w:t>
      </w:r>
    </w:p>
    <w:p w14:paraId="6A2F482C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i/>
          <w:iCs/>
          <w:color w:val="1F1F1F"/>
        </w:rPr>
      </w:pPr>
      <w:r>
        <w:rPr>
          <w:i/>
          <w:iCs/>
          <w:color w:val="1F1F1F"/>
        </w:rPr>
        <w:lastRenderedPageBreak/>
        <w:t>(To be signed and returned with the vendor's response)</w:t>
      </w:r>
    </w:p>
    <w:p w14:paraId="32F0A810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Vendor Name: ____________________________________________________</w:t>
      </w:r>
    </w:p>
    <w:p w14:paraId="556C2CC0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SPIN Number: ____________________________________________________</w:t>
      </w:r>
    </w:p>
    <w:p w14:paraId="31FDB1C5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Authorized Representative Name: ______________________________________</w:t>
      </w:r>
    </w:p>
    <w:p w14:paraId="6C999B3F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Title: _________________________________________________________</w:t>
      </w:r>
    </w:p>
    <w:p w14:paraId="5BE5A111" w14:textId="77777777" w:rsidR="00DB0CFE" w:rsidRDefault="00847C02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color w:val="1F1F1F"/>
        </w:rPr>
      </w:pPr>
      <w:r>
        <w:rPr>
          <w:color w:val="1F1F1F"/>
        </w:rPr>
        <w:t>Signature: ___________________________________ Date: _______________</w:t>
      </w:r>
    </w:p>
    <w:sectPr w:rsidR="00DB0CFE" w:rsidSect="00592D37">
      <w:pgSz w:w="15840" w:h="12240" w:orient="landscape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74E24BB-A39C-406F-81D8-1607EF2F3D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6A0A83C-D150-4CC4-A253-8E8BC03544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66A7A5C-FA61-44C4-8214-F3ECD1A4AC0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4A89"/>
    <w:multiLevelType w:val="multilevel"/>
    <w:tmpl w:val="7BB651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14422F5"/>
    <w:multiLevelType w:val="multilevel"/>
    <w:tmpl w:val="98462FE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A3A66C4"/>
    <w:multiLevelType w:val="multilevel"/>
    <w:tmpl w:val="8CDEA9E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DE048EC"/>
    <w:multiLevelType w:val="multilevel"/>
    <w:tmpl w:val="89F888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1270DBB"/>
    <w:multiLevelType w:val="multilevel"/>
    <w:tmpl w:val="C358932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39365CB"/>
    <w:multiLevelType w:val="multilevel"/>
    <w:tmpl w:val="EB64071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C571EE4"/>
    <w:multiLevelType w:val="multilevel"/>
    <w:tmpl w:val="AE6E540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E130FA2"/>
    <w:multiLevelType w:val="multilevel"/>
    <w:tmpl w:val="C25006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3FF25EC5"/>
    <w:multiLevelType w:val="multilevel"/>
    <w:tmpl w:val="C79066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C05167A"/>
    <w:multiLevelType w:val="multilevel"/>
    <w:tmpl w:val="0F603CA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F4E06F6"/>
    <w:multiLevelType w:val="multilevel"/>
    <w:tmpl w:val="5B4A917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3CF47E6"/>
    <w:multiLevelType w:val="multilevel"/>
    <w:tmpl w:val="0E588B3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48625CB"/>
    <w:multiLevelType w:val="multilevel"/>
    <w:tmpl w:val="3716960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70A6514B"/>
    <w:multiLevelType w:val="multilevel"/>
    <w:tmpl w:val="053AFA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1FA4373"/>
    <w:multiLevelType w:val="multilevel"/>
    <w:tmpl w:val="8CAC286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EB81C88"/>
    <w:multiLevelType w:val="multilevel"/>
    <w:tmpl w:val="A72AAA7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09238261">
    <w:abstractNumId w:val="0"/>
  </w:num>
  <w:num w:numId="2" w16cid:durableId="1404908891">
    <w:abstractNumId w:val="8"/>
  </w:num>
  <w:num w:numId="3" w16cid:durableId="1476794862">
    <w:abstractNumId w:val="15"/>
  </w:num>
  <w:num w:numId="4" w16cid:durableId="1429546893">
    <w:abstractNumId w:val="5"/>
  </w:num>
  <w:num w:numId="5" w16cid:durableId="1491209955">
    <w:abstractNumId w:val="1"/>
  </w:num>
  <w:num w:numId="6" w16cid:durableId="760103837">
    <w:abstractNumId w:val="6"/>
  </w:num>
  <w:num w:numId="7" w16cid:durableId="690256525">
    <w:abstractNumId w:val="13"/>
  </w:num>
  <w:num w:numId="8" w16cid:durableId="1316488919">
    <w:abstractNumId w:val="14"/>
  </w:num>
  <w:num w:numId="9" w16cid:durableId="617227596">
    <w:abstractNumId w:val="7"/>
  </w:num>
  <w:num w:numId="10" w16cid:durableId="1502087327">
    <w:abstractNumId w:val="3"/>
  </w:num>
  <w:num w:numId="11" w16cid:durableId="1658067459">
    <w:abstractNumId w:val="10"/>
  </w:num>
  <w:num w:numId="12" w16cid:durableId="1911576655">
    <w:abstractNumId w:val="12"/>
  </w:num>
  <w:num w:numId="13" w16cid:durableId="2012876694">
    <w:abstractNumId w:val="2"/>
  </w:num>
  <w:num w:numId="14" w16cid:durableId="1461876350">
    <w:abstractNumId w:val="9"/>
  </w:num>
  <w:num w:numId="15" w16cid:durableId="57169210">
    <w:abstractNumId w:val="4"/>
  </w:num>
  <w:num w:numId="16" w16cid:durableId="2143383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CFE"/>
    <w:rsid w:val="00381CFC"/>
    <w:rsid w:val="003F4808"/>
    <w:rsid w:val="004C06E9"/>
    <w:rsid w:val="00592D37"/>
    <w:rsid w:val="00747797"/>
    <w:rsid w:val="00847C02"/>
    <w:rsid w:val="00C27C5B"/>
    <w:rsid w:val="00DB0CFE"/>
    <w:rsid w:val="00ED272F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2DDEA"/>
  <w15:docId w15:val="{AC907CA3-EA2C-43ED-BF9D-107477C6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1536</Words>
  <Characters>8759</Characters>
  <Application>Microsoft Office Word</Application>
  <DocSecurity>0</DocSecurity>
  <Lines>72</Lines>
  <Paragraphs>20</Paragraphs>
  <ScaleCrop>false</ScaleCrop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 Thayer</dc:creator>
  <cp:lastModifiedBy>Audra Thayer</cp:lastModifiedBy>
  <cp:revision>2</cp:revision>
  <dcterms:created xsi:type="dcterms:W3CDTF">2026-10-20T15:52:00Z</dcterms:created>
  <dcterms:modified xsi:type="dcterms:W3CDTF">2026-10-20T15:52:00Z</dcterms:modified>
</cp:coreProperties>
</file>