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CONTRACT REQUIREMENTS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288" w:right="0" w:hanging="28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establishing the terms and conditions for the contract, the awarded Proposer shall hereby be known as Contractor.</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DESCRIPTION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Round Rock Independent School District (the District or RRISD) seeks a districtwide refresh of its enterprise wireless access points, required cloud management subscriptions, mounting hardware, and related implementation. The quantities below are planning estimates for one districtwide procurement. Actual purchases and deployment locations will be determined by District purchase orders and site eligibility review.</w:t>
      </w:r>
    </w:p>
    <w:p w:rsidR="00000000" w:rsidDel="00000000" w:rsidP="00000000" w:rsidRDefault="00000000" w:rsidRPr="00000000" w14:paraId="0000000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s>
        <w:spacing w:after="0" w:before="0" w:line="276" w:lineRule="auto"/>
        <w:ind w:left="360" w:right="0" w:hanging="360"/>
        <w:jc w:val="both"/>
        <w:rPr>
          <w:smallCaps w:val="0"/>
          <w:strike w:val="0"/>
          <w:u w:val="none"/>
          <w:shd w:fill="auto" w:val="clear"/>
          <w:vertAlign w:val="baseline"/>
        </w:rPr>
      </w:pPr>
      <w:bookmarkStart w:colFirst="0" w:colLast="0" w:name="_cy9leaozbcht" w:id="0"/>
      <w:bookmarkEnd w:id="0"/>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SCOPE AND PROPOSED EQUIPMENT.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proposed solution shall provide HPE Aruba Networking equipment listed below, or equivalent equipment that meets the functional requirements and interoperates with the District’s existing wireless authentication, network, and management environment. Manufacturer references identify the District’s current standard and desired functionality; respondents proposing equivalents shall document interoperability, licensing, support, and transition requirements. The District may award and purchase more or less than estimated quantities at the proposed unit prices</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76" w:lineRule="auto"/>
        <w:ind w:left="0" w:right="0" w:firstLine="0"/>
        <w:jc w:val="both"/>
        <w:rPr>
          <w:rFonts w:ascii="Arial" w:cs="Arial" w:eastAsia="Arial" w:hAnsi="Arial"/>
          <w:b w:val="0"/>
          <w:bCs w:val="0"/>
          <w:i w:val="0"/>
          <w:iCs w:val="0"/>
          <w:smallCaps w:val="0"/>
          <w:strike w:val="0"/>
          <w:color w:val="ee0000"/>
          <w:sz w:val="20"/>
          <w:szCs w:val="20"/>
          <w:u w:val="none"/>
          <w:shd w:fill="auto" w:val="clear"/>
          <w:vertAlign w:val="baseline"/>
        </w:rPr>
      </w:pPr>
      <w:r w:rsidDel="00000000" w:rsidR="00000000" w:rsidRPr="00000000">
        <w:rPr>
          <w:rtl w:val="0"/>
        </w:rPr>
      </w:r>
    </w:p>
    <w:tbl>
      <w:tblPr>
        <w:tblStyle w:val="Table1"/>
        <w:tblW w:w="9000.0" w:type="dxa"/>
        <w:jc w:val="left"/>
        <w:tblInd w:w="35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4"/>
        <w:gridCol w:w="5921"/>
        <w:gridCol w:w="1625"/>
        <w:tblGridChange w:id="0">
          <w:tblGrid>
            <w:gridCol w:w="1454"/>
            <w:gridCol w:w="5921"/>
            <w:gridCol w:w="1625"/>
          </w:tblGrid>
        </w:tblGridChange>
      </w:tblGrid>
      <w:tr>
        <w:trPr>
          <w:cantSplit w:val="0"/>
          <w:tblHeader w:val="0"/>
        </w:trPr>
        <w:tc>
          <w:tcPr>
            <w:shd w:fill="dde8f2" w:val="clear"/>
            <w:vAlign w:val="center"/>
          </w:tcPr>
          <w:p w:rsidR="00000000" w:rsidDel="00000000" w:rsidP="00000000" w:rsidRDefault="00000000" w:rsidRPr="00000000" w14:paraId="00000007">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Reference part number</w:t>
            </w:r>
            <w:r w:rsidDel="00000000" w:rsidR="00000000" w:rsidRPr="00000000">
              <w:rPr>
                <w:rtl w:val="0"/>
              </w:rPr>
            </w:r>
          </w:p>
        </w:tc>
        <w:tc>
          <w:tcPr>
            <w:shd w:fill="dde8f2" w:val="clear"/>
            <w:vAlign w:val="center"/>
          </w:tcPr>
          <w:p w:rsidR="00000000" w:rsidDel="00000000" w:rsidP="00000000" w:rsidRDefault="00000000" w:rsidRPr="00000000" w14:paraId="00000008">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Districtwide requirement</w:t>
            </w:r>
            <w:r w:rsidDel="00000000" w:rsidR="00000000" w:rsidRPr="00000000">
              <w:rPr>
                <w:rtl w:val="0"/>
              </w:rPr>
            </w:r>
          </w:p>
        </w:tc>
        <w:tc>
          <w:tcPr>
            <w:shd w:fill="dde8f2" w:val="clear"/>
            <w:vAlign w:val="center"/>
          </w:tcPr>
          <w:p w:rsidR="00000000" w:rsidDel="00000000" w:rsidP="00000000" w:rsidRDefault="00000000" w:rsidRPr="00000000" w14:paraId="00000009">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b w:val="1"/>
                <w:bCs w:val="1"/>
                <w:sz w:val="18"/>
                <w:szCs w:val="18"/>
                <w:rtl w:val="0"/>
              </w:rPr>
              <w:t xml:space="preserve">Estimated quantity</w:t>
            </w:r>
            <w:r w:rsidDel="00000000" w:rsidR="00000000" w:rsidRPr="00000000">
              <w:rPr>
                <w:rtl w:val="0"/>
              </w:rPr>
            </w:r>
          </w:p>
        </w:tc>
      </w:tr>
      <w:tr>
        <w:trPr>
          <w:cantSplit w:val="0"/>
          <w:trHeight w:val="288" w:hRule="atLeast"/>
          <w:tblHeader w:val="0"/>
        </w:trPr>
        <w:tc>
          <w:tcPr>
            <w:vAlign w:val="bottom"/>
          </w:tcPr>
          <w:p w:rsidR="00000000" w:rsidDel="00000000" w:rsidP="00000000" w:rsidRDefault="00000000" w:rsidRPr="00000000" w14:paraId="0000000A">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S4A25A</w:t>
            </w:r>
          </w:p>
        </w:tc>
        <w:tc>
          <w:tcPr>
            <w:vAlign w:val="bottom"/>
          </w:tcPr>
          <w:p w:rsidR="00000000" w:rsidDel="00000000" w:rsidP="00000000" w:rsidRDefault="00000000" w:rsidRPr="00000000" w14:paraId="0000000B">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AP-725 (US) campus indoor access point</w:t>
            </w:r>
          </w:p>
        </w:tc>
        <w:tc>
          <w:tcPr>
            <w:vAlign w:val="bottom"/>
          </w:tcPr>
          <w:p w:rsidR="00000000" w:rsidDel="00000000" w:rsidP="00000000" w:rsidRDefault="00000000" w:rsidRPr="00000000" w14:paraId="0000000C">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5,000</w:t>
            </w:r>
          </w:p>
        </w:tc>
      </w:tr>
      <w:tr>
        <w:trPr>
          <w:cantSplit w:val="0"/>
          <w:trHeight w:val="288" w:hRule="atLeast"/>
          <w:tblHeader w:val="0"/>
        </w:trPr>
        <w:tc>
          <w:tcPr>
            <w:vAlign w:val="center"/>
          </w:tcPr>
          <w:p w:rsidR="00000000" w:rsidDel="00000000" w:rsidP="00000000" w:rsidRDefault="00000000" w:rsidRPr="00000000" w14:paraId="0000000D">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S4K09A</w:t>
            </w:r>
          </w:p>
        </w:tc>
        <w:tc>
          <w:tcPr>
            <w:vAlign w:val="center"/>
          </w:tcPr>
          <w:p w:rsidR="00000000" w:rsidDel="00000000" w:rsidP="00000000" w:rsidRDefault="00000000" w:rsidRPr="00000000" w14:paraId="0000000E">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AP-763 (US) flex radio indoor access point</w:t>
            </w:r>
          </w:p>
        </w:tc>
        <w:tc>
          <w:tcPr>
            <w:vAlign w:val="center"/>
          </w:tcPr>
          <w:p w:rsidR="00000000" w:rsidDel="00000000" w:rsidP="00000000" w:rsidRDefault="00000000" w:rsidRPr="00000000" w14:paraId="0000000F">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30</w:t>
            </w:r>
          </w:p>
        </w:tc>
      </w:tr>
      <w:tr>
        <w:trPr>
          <w:cantSplit w:val="0"/>
          <w:trHeight w:val="288" w:hRule="atLeast"/>
          <w:tblHeader w:val="0"/>
        </w:trPr>
        <w:tc>
          <w:tcPr>
            <w:vAlign w:val="center"/>
          </w:tcPr>
          <w:p w:rsidR="00000000" w:rsidDel="00000000" w:rsidP="00000000" w:rsidRDefault="00000000" w:rsidRPr="00000000" w14:paraId="00000010">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S4K19A</w:t>
            </w:r>
          </w:p>
        </w:tc>
        <w:tc>
          <w:tcPr>
            <w:vAlign w:val="center"/>
          </w:tcPr>
          <w:p w:rsidR="00000000" w:rsidDel="00000000" w:rsidP="00000000" w:rsidRDefault="00000000" w:rsidRPr="00000000" w14:paraId="00000011">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AP-765 (US) tri-radio flex outdoor access point with built-in dynamic antennas</w:t>
            </w:r>
          </w:p>
        </w:tc>
        <w:tc>
          <w:tcPr>
            <w:vAlign w:val="center"/>
          </w:tcPr>
          <w:p w:rsidR="00000000" w:rsidDel="00000000" w:rsidP="00000000" w:rsidRDefault="00000000" w:rsidRPr="00000000" w14:paraId="00000012">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210</w:t>
            </w:r>
          </w:p>
        </w:tc>
      </w:tr>
      <w:tr>
        <w:trPr>
          <w:cantSplit w:val="0"/>
          <w:tblHeader w:val="0"/>
        </w:trPr>
        <w:tc>
          <w:tcPr>
            <w:vAlign w:val="center"/>
          </w:tcPr>
          <w:p w:rsidR="00000000" w:rsidDel="00000000" w:rsidP="00000000" w:rsidRDefault="00000000" w:rsidRPr="00000000" w14:paraId="00000013">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Q9Y61AAE</w:t>
            </w:r>
          </w:p>
        </w:tc>
        <w:tc>
          <w:tcPr>
            <w:vAlign w:val="center"/>
          </w:tcPr>
          <w:p w:rsidR="00000000" w:rsidDel="00000000" w:rsidP="00000000" w:rsidRDefault="00000000" w:rsidRPr="00000000" w14:paraId="00000014">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HPE Aruba Networking Central AP Foundation seven-year subscription E-STU, or equivalent management license per AP</w:t>
            </w:r>
          </w:p>
        </w:tc>
        <w:tc>
          <w:tcPr>
            <w:vAlign w:val="center"/>
          </w:tcPr>
          <w:p w:rsidR="00000000" w:rsidDel="00000000" w:rsidP="00000000" w:rsidRDefault="00000000" w:rsidRPr="00000000" w14:paraId="00000015">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5,240</w:t>
            </w:r>
          </w:p>
        </w:tc>
      </w:tr>
      <w:tr>
        <w:trPr>
          <w:cantSplit w:val="0"/>
          <w:trHeight w:val="288" w:hRule="atLeast"/>
          <w:tblHeader w:val="0"/>
        </w:trPr>
        <w:tc>
          <w:tcPr>
            <w:vAlign w:val="center"/>
          </w:tcPr>
          <w:p w:rsidR="00000000" w:rsidDel="00000000" w:rsidP="00000000" w:rsidRDefault="00000000" w:rsidRPr="00000000" w14:paraId="00000016">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R9H97A</w:t>
            </w:r>
          </w:p>
        </w:tc>
        <w:tc>
          <w:tcPr>
            <w:vAlign w:val="center"/>
          </w:tcPr>
          <w:p w:rsidR="00000000" w:rsidDel="00000000" w:rsidP="00000000" w:rsidRDefault="00000000" w:rsidRPr="00000000" w14:paraId="00000017">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AP-OUT-MNT-V1A long-arm wall/pole mount</w:t>
            </w:r>
          </w:p>
        </w:tc>
        <w:tc>
          <w:tcPr>
            <w:vAlign w:val="center"/>
          </w:tcPr>
          <w:p w:rsidR="00000000" w:rsidDel="00000000" w:rsidP="00000000" w:rsidRDefault="00000000" w:rsidRPr="00000000" w14:paraId="00000018">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50</w:t>
            </w:r>
          </w:p>
        </w:tc>
      </w:tr>
      <w:tr>
        <w:trPr>
          <w:cantSplit w:val="0"/>
          <w:trHeight w:val="288" w:hRule="atLeast"/>
          <w:tblHeader w:val="0"/>
        </w:trPr>
        <w:tc>
          <w:tcPr>
            <w:vAlign w:val="center"/>
          </w:tcPr>
          <w:p w:rsidR="00000000" w:rsidDel="00000000" w:rsidP="00000000" w:rsidRDefault="00000000" w:rsidRPr="00000000" w14:paraId="00000019">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S6F38A</w:t>
            </w:r>
          </w:p>
        </w:tc>
        <w:tc>
          <w:tcPr>
            <w:vAlign w:val="center"/>
          </w:tcPr>
          <w:p w:rsidR="00000000" w:rsidDel="00000000" w:rsidP="00000000" w:rsidRDefault="00000000" w:rsidRPr="00000000" w14:paraId="0000001A">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AP-ACC-760-CVR solar cover kit</w:t>
            </w:r>
          </w:p>
        </w:tc>
        <w:tc>
          <w:tcPr>
            <w:vAlign w:val="center"/>
          </w:tcPr>
          <w:p w:rsidR="00000000" w:rsidDel="00000000" w:rsidP="00000000" w:rsidRDefault="00000000" w:rsidRPr="00000000" w14:paraId="0000001B">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50</w:t>
            </w:r>
          </w:p>
        </w:tc>
      </w:tr>
      <w:tr>
        <w:trPr>
          <w:cantSplit w:val="0"/>
          <w:trHeight w:val="288" w:hRule="atLeast"/>
          <w:tblHeader w:val="0"/>
        </w:trPr>
        <w:tc>
          <w:tcPr>
            <w:vAlign w:val="center"/>
          </w:tcPr>
          <w:p w:rsidR="00000000" w:rsidDel="00000000" w:rsidP="00000000" w:rsidRDefault="00000000" w:rsidRPr="00000000" w14:paraId="0000001C">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R6W11A</w:t>
            </w:r>
          </w:p>
        </w:tc>
        <w:tc>
          <w:tcPr>
            <w:vAlign w:val="center"/>
          </w:tcPr>
          <w:p w:rsidR="00000000" w:rsidDel="00000000" w:rsidP="00000000" w:rsidRDefault="00000000" w:rsidRPr="00000000" w14:paraId="0000001D">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AP-270-MNT-H3 dual articulating mount</w:t>
            </w:r>
          </w:p>
        </w:tc>
        <w:tc>
          <w:tcPr>
            <w:vAlign w:val="center"/>
          </w:tcPr>
          <w:p w:rsidR="00000000" w:rsidDel="00000000" w:rsidP="00000000" w:rsidRDefault="00000000" w:rsidRPr="00000000" w14:paraId="0000001E">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30</w:t>
            </w:r>
          </w:p>
        </w:tc>
      </w:tr>
      <w:tr>
        <w:trPr>
          <w:cantSplit w:val="0"/>
          <w:trHeight w:val="288" w:hRule="atLeast"/>
          <w:tblHeader w:val="0"/>
        </w:trPr>
        <w:tc>
          <w:tcPr>
            <w:vAlign w:val="center"/>
          </w:tcPr>
          <w:p w:rsidR="00000000" w:rsidDel="00000000" w:rsidP="00000000" w:rsidRDefault="00000000" w:rsidRPr="00000000" w14:paraId="0000001F">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R1C72A</w:t>
            </w:r>
          </w:p>
        </w:tc>
        <w:tc>
          <w:tcPr>
            <w:vAlign w:val="center"/>
          </w:tcPr>
          <w:p w:rsidR="00000000" w:rsidDel="00000000" w:rsidP="00000000" w:rsidRDefault="00000000" w:rsidRPr="00000000" w14:paraId="00000020">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AP-MNT-MP10-E wall mount bracket, ten pack</w:t>
            </w:r>
          </w:p>
        </w:tc>
        <w:tc>
          <w:tcPr>
            <w:vAlign w:val="center"/>
          </w:tcPr>
          <w:p w:rsidR="00000000" w:rsidDel="00000000" w:rsidP="00000000" w:rsidRDefault="00000000" w:rsidRPr="00000000" w14:paraId="00000021">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10 packs</w:t>
            </w:r>
          </w:p>
        </w:tc>
      </w:tr>
      <w:tr>
        <w:trPr>
          <w:cantSplit w:val="0"/>
          <w:trHeight w:val="288" w:hRule="atLeast"/>
          <w:tblHeader w:val="0"/>
        </w:trPr>
        <w:tc>
          <w:tcPr>
            <w:vAlign w:val="center"/>
          </w:tcPr>
          <w:p w:rsidR="00000000" w:rsidDel="00000000" w:rsidP="00000000" w:rsidRDefault="00000000" w:rsidRPr="00000000" w14:paraId="00000022">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JZ370A</w:t>
            </w:r>
          </w:p>
        </w:tc>
        <w:tc>
          <w:tcPr>
            <w:vAlign w:val="center"/>
          </w:tcPr>
          <w:p w:rsidR="00000000" w:rsidDel="00000000" w:rsidP="00000000" w:rsidRDefault="00000000" w:rsidRPr="00000000" w14:paraId="00000023">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AP-MNT-A Type A ceiling rail mount</w:t>
            </w:r>
          </w:p>
        </w:tc>
        <w:tc>
          <w:tcPr>
            <w:vAlign w:val="center"/>
          </w:tcPr>
          <w:p w:rsidR="00000000" w:rsidDel="00000000" w:rsidP="00000000" w:rsidRDefault="00000000" w:rsidRPr="00000000" w14:paraId="00000024">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20</w:t>
            </w:r>
          </w:p>
        </w:tc>
      </w:tr>
      <w:tr>
        <w:trPr>
          <w:cantSplit w:val="0"/>
          <w:trHeight w:val="288" w:hRule="atLeast"/>
          <w:tblHeader w:val="0"/>
        </w:trPr>
        <w:tc>
          <w:tcPr>
            <w:vAlign w:val="center"/>
          </w:tcPr>
          <w:p w:rsidR="00000000" w:rsidDel="00000000" w:rsidP="00000000" w:rsidRDefault="00000000" w:rsidRPr="00000000" w14:paraId="00000025">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Q9G69A</w:t>
            </w:r>
          </w:p>
        </w:tc>
        <w:tc>
          <w:tcPr>
            <w:vAlign w:val="center"/>
          </w:tcPr>
          <w:p w:rsidR="00000000" w:rsidDel="00000000" w:rsidP="00000000" w:rsidRDefault="00000000" w:rsidRPr="00000000" w14:paraId="00000026">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AP-MNT-B Type B ceiling rail mount</w:t>
            </w:r>
          </w:p>
        </w:tc>
        <w:tc>
          <w:tcPr>
            <w:vAlign w:val="center"/>
          </w:tcPr>
          <w:p w:rsidR="00000000" w:rsidDel="00000000" w:rsidP="00000000" w:rsidRDefault="00000000" w:rsidRPr="00000000" w14:paraId="00000027">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20</w:t>
            </w:r>
          </w:p>
        </w:tc>
      </w:tr>
      <w:tr>
        <w:trPr>
          <w:cantSplit w:val="0"/>
          <w:trHeight w:val="288" w:hRule="atLeast"/>
          <w:tblHeader w:val="0"/>
        </w:trPr>
        <w:tc>
          <w:tcPr>
            <w:vAlign w:val="center"/>
          </w:tcPr>
          <w:p w:rsidR="00000000" w:rsidDel="00000000" w:rsidP="00000000" w:rsidRDefault="00000000" w:rsidRPr="00000000" w14:paraId="00000028">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Q9G70A</w:t>
            </w:r>
          </w:p>
        </w:tc>
        <w:tc>
          <w:tcPr>
            <w:vAlign w:val="center"/>
          </w:tcPr>
          <w:p w:rsidR="00000000" w:rsidDel="00000000" w:rsidP="00000000" w:rsidRDefault="00000000" w:rsidRPr="00000000" w14:paraId="00000029">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AP-MNT-C Type C ceiling rail mount</w:t>
            </w:r>
          </w:p>
        </w:tc>
        <w:tc>
          <w:tcPr>
            <w:vAlign w:val="center"/>
          </w:tcPr>
          <w:p w:rsidR="00000000" w:rsidDel="00000000" w:rsidP="00000000" w:rsidRDefault="00000000" w:rsidRPr="00000000" w14:paraId="0000002A">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20</w:t>
            </w:r>
          </w:p>
        </w:tc>
      </w:tr>
      <w:tr>
        <w:trPr>
          <w:cantSplit w:val="0"/>
          <w:trHeight w:val="288" w:hRule="atLeast"/>
          <w:tblHeader w:val="0"/>
        </w:trPr>
        <w:tc>
          <w:tcPr>
            <w:vAlign w:val="center"/>
          </w:tcPr>
          <w:p w:rsidR="00000000" w:rsidDel="00000000" w:rsidP="00000000" w:rsidRDefault="00000000" w:rsidRPr="00000000" w14:paraId="0000002B">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S0J40A</w:t>
            </w:r>
          </w:p>
        </w:tc>
        <w:tc>
          <w:tcPr>
            <w:vAlign w:val="center"/>
          </w:tcPr>
          <w:p w:rsidR="00000000" w:rsidDel="00000000" w:rsidP="00000000" w:rsidRDefault="00000000" w:rsidRPr="00000000" w14:paraId="0000002C">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AP-MNT-MP10-U universal mount</w:t>
            </w:r>
          </w:p>
        </w:tc>
        <w:tc>
          <w:tcPr>
            <w:vAlign w:val="center"/>
          </w:tcPr>
          <w:p w:rsidR="00000000" w:rsidDel="00000000" w:rsidP="00000000" w:rsidRDefault="00000000" w:rsidRPr="00000000" w14:paraId="0000002D">
            <w:pPr>
              <w:widowControl w:val="1"/>
              <w:spacing w:after="0" w:line="276" w:lineRule="auto"/>
              <w:jc w:val="left"/>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50</w:t>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648" w:right="0" w:hanging="28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76" w:lineRule="auto"/>
        <w:ind w:left="36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mount quantities are districtwide estimates, not a one-for-one mounting schedule. Respondents shall identify each manufacturer sales unit and the number of individual pieces supplied per package; reconcile the required mount types and quantities after field verification. Existing mounts may be reused only with written District approval and documented manufacturer compatibility.</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TECHNICAL </w:t>
      </w:r>
      <w:r w:rsidDel="00000000" w:rsidR="00000000" w:rsidRPr="00000000">
        <w:rPr>
          <w:rFonts w:ascii="Arial" w:cs="Arial" w:eastAsia="Arial" w:hAnsi="Arial"/>
          <w:b w:val="1"/>
          <w:bCs w:val="1"/>
          <w:sz w:val="20"/>
          <w:szCs w:val="20"/>
          <w:u w:val="single"/>
          <w:rtl w:val="0"/>
        </w:rPr>
        <w:t xml:space="preserve">REQUIREMENTS </w:t>
      </w: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AND IMPLEMENTATION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Provide new, genuine, current-production equipment suitable for the proposed indoor or outdoor environment, with manufacturer-supported firmware, power and uplink requirements, regulatory approvals, and all necessary parts for an operational installation. State any end-of-sale or end-of-support dates known at bid submission.</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 w:val="left" w:leader="none" w:pos="90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Document compatibility with the District’s existing HPE Aruba wireless environment, identity and authentication services, SSIDs, roaming design, VLANs, PoE capacity, monitoring, and management. Identify any new controllers, gateways, subscriptions, transceivers, power injectors, cabling, or other prerequisites, including their separate prices and E-Rate eligibility.</w:t>
      </w:r>
    </w:p>
    <w:p w:rsidR="00000000" w:rsidDel="00000000" w:rsidP="00000000" w:rsidRDefault="00000000" w:rsidRPr="00000000" w14:paraId="0000003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Provide the seven-year Central AP Foundation subscription for each proposed AP. State the exact SKU, license entitlement, start and expiration dates, activation method, renewal terms, and transfer or reassignment restrictions. Coordinate activation with District acceptance and the expiration of existing subscriptions in </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July 2028</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so that avoidable overlap is disclosed and minimized; do not assume E-Rate support for duplicate coverage.</w:t>
      </w:r>
    </w:p>
    <w:p w:rsidR="00000000" w:rsidDel="00000000" w:rsidP="00000000" w:rsidRDefault="00000000" w:rsidRPr="00000000" w14:paraId="0000003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RRISD will install, configure, migrate, and test. This Solicitation is for equipment only.</w:t>
      </w:r>
    </w:p>
    <w:p w:rsidR="00000000" w:rsidDel="00000000" w:rsidP="00000000" w:rsidRDefault="00000000" w:rsidRPr="00000000" w14:paraId="0000003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BID RESPONSE AND PRICING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Submit an itemized bill of materials and firm unit pricing by manufacturer, part number, description, sales unit, estimated quantity, extended price, and any volume discount. </w:t>
      </w:r>
      <w:r w:rsidDel="00000000" w:rsidR="00000000" w:rsidRPr="00000000">
        <w:rPr>
          <w:rFonts w:ascii="Arial" w:cs="Arial" w:eastAsia="Arial" w:hAnsi="Arial"/>
          <w:sz w:val="20"/>
          <w:szCs w:val="20"/>
          <w:rtl w:val="0"/>
        </w:rPr>
        <w:t xml:space="preserve">List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hipping and other </w:t>
      </w:r>
      <w:r w:rsidDel="00000000" w:rsidR="00000000" w:rsidRPr="00000000">
        <w:rPr>
          <w:rFonts w:ascii="Arial" w:cs="Arial" w:eastAsia="Arial" w:hAnsi="Arial"/>
          <w:sz w:val="20"/>
          <w:szCs w:val="20"/>
          <w:rtl w:val="0"/>
        </w:rPr>
        <w:t xml:space="preserve">additional fees with a description of each, as separate line items.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Utilize the Price Sheet found under the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“Attachments”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tab of the Solicitation.</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State all recurring charges and the full seven-year license price. </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any optional alternatives as separate, independently priced items. </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Explain substitutions and provide a crosswalk to each reference item. An unpriced dependency shall not be treated as included in an E-Rate funded item. </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every line and any bundle, identify the proposed E-Rate service type, eligible and ineligible amounts, eligible percentage, and a documented cost allocation method where needed. </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Separately price ineligible functions, equipment, facilities, warranties, advanced support, and any software features beyond distribution of broadband or support of eligible internal connections. </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Include product literature sufficient for the District to evaluate eligibility and respond to USAC review. The District retains final responsibility for its funding request and may adjust quantities or remove ineligible items.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E-RATE AND PROCUREMENT PROVISIONS.</w:t>
      </w: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procurement is intended for Category Two internal connections for Funding Year 2027, subject to the applicable FCC Eligible Services List and final USAC eligibility decisions. Wireless access points, eligible supporting software, antennas, connectors, and mounting components are requested to the extent used for eligible educational broadband distribution. Respondents shall not represent that every proposed location or feature is automatically eligible.</w:t>
      </w:r>
    </w:p>
    <w:p w:rsidR="00000000" w:rsidDel="00000000" w:rsidP="00000000" w:rsidRDefault="00000000" w:rsidRPr="00000000" w14:paraId="0000004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District will identify recipient schools and verify the treatment of any administrative, stadium, transportation, or other non-instructional facility before placing an E-Rate funded order. Bid prices shall permit the District to allocate or omit costs for ineligible locations or uses without changing the unit price of eligible items.</w:t>
      </w:r>
    </w:p>
    <w:p w:rsidR="00000000" w:rsidDel="00000000" w:rsidP="00000000" w:rsidRDefault="00000000" w:rsidRPr="00000000" w14:paraId="0000004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successful provider shall have an active Service Provider Identification Number (SPIN/498 ID), comply with all applicable E-Rate rules, offer prices consistent with the Lowest Corresponding Price rule, and provide information reasonably needed for FCC Forms 471, 486, 474, post-commitment changes, audits, and asset records. It shall retain and provide supporting records as required by the program.</w:t>
      </w:r>
    </w:p>
    <w:p w:rsidR="00000000" w:rsidDel="00000000" w:rsidP="00000000" w:rsidRDefault="00000000" w:rsidRPr="00000000" w14:paraId="0000004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District anticipates Service Provider Invoicing (SPI, FCC Form 474) for approved eligible charges. The provider shall bill the District for its non-discount share and all ineligible charges, and may bill USAC only after program prerequisites are met and the applicable equipment or service has been delivered. The District will pay its required share; no credit, waiver, or free item may offset that obligation.</w:t>
      </w:r>
    </w:p>
    <w:p w:rsidR="00000000" w:rsidDel="00000000" w:rsidP="00000000" w:rsidRDefault="00000000" w:rsidRPr="00000000" w14:paraId="0000004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Award and contract execution do not constitute an order to proceed. Performance is subject to a written District notice to proceed and applicable funding, budget, and procurement approvals. Any Category Two advance installation must comply with the applicable April 1 rule; no E-Rate invoice may be certified before July 1 of the funding year. The District may decline implementation if funding or appropriations are unavailable.</w:t>
      </w:r>
    </w:p>
    <w:p w:rsidR="00000000" w:rsidDel="00000000" w:rsidP="00000000" w:rsidRDefault="00000000" w:rsidRPr="00000000" w14:paraId="0000004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900" w:right="0" w:hanging="540"/>
        <w:jc w:val="both"/>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FCC Form 470 and all RFP materials and addenda shall remain available for the required competitive bidding period. The District will evaluate responsive bids under its published criteria with price of eligible products and services weighted more heavily than any other individual factor. Proposals must not condition eligible pricing on the purchase of ineligible products or services.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360"/>
      </w:pPr>
      <w:r w:rsidDel="00000000" w:rsidR="00000000" w:rsidRPr="00000000">
        <w:rPr>
          <w:rFonts w:ascii="Arial" w:cs="Arial" w:eastAsia="Arial" w:hAnsi="Arial"/>
          <w:sz w:val="20"/>
          <w:szCs w:val="20"/>
          <w:u w:val="single"/>
          <w:rtl w:val="0"/>
        </w:rPr>
        <w:t xml:space="preserve">DELIVERY AND LICENSING</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9">
      <w:pPr>
        <w:numPr>
          <w:ilvl w:val="1"/>
          <w:numId w:val="1"/>
        </w:numPr>
        <w:spacing w:after="0" w:lineRule="auto"/>
        <w:ind w:left="900" w:hanging="540"/>
        <w:rPr>
          <w:rFonts w:ascii="Arial" w:cs="Arial" w:eastAsia="Arial" w:hAnsi="Arial"/>
          <w:sz w:val="20"/>
          <w:szCs w:val="20"/>
        </w:rPr>
      </w:pPr>
      <w:r w:rsidDel="00000000" w:rsidR="00000000" w:rsidRPr="00000000">
        <w:rPr>
          <w:rFonts w:ascii="Arial" w:cs="Arial" w:eastAsia="Arial" w:hAnsi="Arial"/>
          <w:sz w:val="20"/>
          <w:szCs w:val="20"/>
          <w:rtl w:val="0"/>
        </w:rPr>
        <w:t xml:space="preserve">Anticipated delivery and deployment schedule for this E-Rate funding year is July 1, 2027 through September 30, 2028.</w:t>
      </w:r>
    </w:p>
    <w:p w:rsidR="00000000" w:rsidDel="00000000" w:rsidP="00000000" w:rsidRDefault="00000000" w:rsidRPr="00000000" w14:paraId="0000004A">
      <w:pPr>
        <w:numPr>
          <w:ilvl w:val="1"/>
          <w:numId w:val="1"/>
        </w:numPr>
        <w:spacing w:after="0" w:lineRule="auto"/>
        <w:ind w:left="900" w:hanging="540"/>
        <w:rPr>
          <w:rFonts w:ascii="Arial" w:cs="Arial" w:eastAsia="Arial" w:hAnsi="Arial"/>
          <w:sz w:val="20"/>
          <w:szCs w:val="20"/>
        </w:rPr>
      </w:pPr>
      <w:r w:rsidDel="00000000" w:rsidR="00000000" w:rsidRPr="00000000">
        <w:rPr>
          <w:rFonts w:ascii="Arial" w:cs="Arial" w:eastAsia="Arial" w:hAnsi="Arial"/>
          <w:sz w:val="20"/>
          <w:szCs w:val="20"/>
          <w:rtl w:val="0"/>
        </w:rPr>
        <w:t xml:space="preserve">For FY2027 non-recurring purchases, the ordinary E-Rate delivery and installation deadline is September 30, 2028.</w:t>
      </w:r>
      <w:r w:rsidDel="00000000" w:rsidR="00000000" w:rsidRPr="00000000">
        <w:rPr>
          <w:rtl w:val="0"/>
        </w:rPr>
      </w:r>
    </w:p>
    <w:p w:rsidR="00000000" w:rsidDel="00000000" w:rsidP="00000000" w:rsidRDefault="00000000" w:rsidRPr="00000000" w14:paraId="0000004B">
      <w:pPr>
        <w:numPr>
          <w:ilvl w:val="1"/>
          <w:numId w:val="1"/>
        </w:numPr>
        <w:spacing w:after="0" w:lineRule="auto"/>
        <w:ind w:left="900" w:hanging="540"/>
        <w:rPr>
          <w:rFonts w:ascii="Arial" w:cs="Arial" w:eastAsia="Arial" w:hAnsi="Arial"/>
          <w:sz w:val="20"/>
          <w:szCs w:val="20"/>
        </w:rPr>
      </w:pPr>
      <w:r w:rsidDel="00000000" w:rsidR="00000000" w:rsidRPr="00000000">
        <w:rPr>
          <w:rFonts w:ascii="Arial" w:cs="Arial" w:eastAsia="Arial" w:hAnsi="Arial"/>
          <w:sz w:val="20"/>
          <w:szCs w:val="20"/>
          <w:rtl w:val="0"/>
        </w:rPr>
        <w:t xml:space="preserve">The seven-year license entitlements remain in effect for their full term.</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 w:val="left" w:leader="none" w:pos="360"/>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 w:val="left" w:leader="none" w:pos="360"/>
        </w:tabs>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TERM OF CONTRACT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contract shall be in effect from July 1, 2027 through </w:t>
      </w:r>
      <w:r w:rsidDel="00000000" w:rsidR="00000000" w:rsidRPr="00000000">
        <w:rPr>
          <w:rFonts w:ascii="Arial" w:cs="Arial" w:eastAsia="Arial" w:hAnsi="Arial"/>
          <w:sz w:val="20"/>
          <w:szCs w:val="20"/>
          <w:rtl w:val="0"/>
        </w:rPr>
        <w:t xml:space="preserve">June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30, 202</w:t>
      </w:r>
      <w:r w:rsidDel="00000000" w:rsidR="00000000" w:rsidRPr="00000000">
        <w:rPr>
          <w:rFonts w:ascii="Arial" w:cs="Arial" w:eastAsia="Arial" w:hAnsi="Arial"/>
          <w:sz w:val="20"/>
          <w:szCs w:val="20"/>
          <w:rtl w:val="0"/>
        </w:rPr>
        <w:t xml:space="preserve">9</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This will cover multiple </w:t>
      </w:r>
      <w:r w:rsidDel="00000000" w:rsidR="00000000" w:rsidRPr="00000000">
        <w:rPr>
          <w:rFonts w:ascii="Arial" w:cs="Arial" w:eastAsia="Arial" w:hAnsi="Arial"/>
          <w:sz w:val="20"/>
          <w:szCs w:val="20"/>
          <w:rtl w:val="0"/>
        </w:rPr>
        <w:t xml:space="preserve">E-Rate funding years. </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28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360"/>
        <w:jc w:val="both"/>
        <w:rPr>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TYPE OF CONTRACT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Firm fixed for the term of the contract.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360" w:right="0" w:hanging="288"/>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6" w:type="default"/>
      <w:footerReference r:id="rId7" w:type="default"/>
      <w:pgSz w:h="15840" w:w="12240" w:orient="portrait"/>
      <w:pgMar w:bottom="1440" w:top="1440" w:left="1440" w:right="1440" w:header="72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7">
    <w:pPr>
      <w:pBdr>
        <w:top w:color="d9d9d9" w:space="0" w:sz="4" w:val="single"/>
      </w:pBd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spacing w:after="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ROUND ROCK INDEPENDENT SCHOOL DISTRICT</w:t>
    </w:r>
  </w:p>
  <w:p w:rsidR="00000000" w:rsidDel="00000000" w:rsidP="00000000" w:rsidRDefault="00000000" w:rsidRPr="00000000" w14:paraId="00000052">
    <w:pPr>
      <w:spacing w:after="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Enterprise Wireless Network Refresh-Districtwide (E-Rate)</w:t>
    </w:r>
  </w:p>
  <w:p w:rsidR="00000000" w:rsidDel="00000000" w:rsidP="00000000" w:rsidRDefault="00000000" w:rsidRPr="00000000" w14:paraId="00000053">
    <w:pPr>
      <w:spacing w:after="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Request for Proposal (RFP) Number 28-001</w:t>
    </w:r>
  </w:p>
  <w:p w:rsidR="00000000" w:rsidDel="00000000" w:rsidP="00000000" w:rsidRDefault="00000000" w:rsidRPr="00000000" w14:paraId="00000054">
    <w:pPr>
      <w:keepNext w:val="0"/>
      <w:keepLines w:val="0"/>
      <w:pageBreakBefore w:val="0"/>
      <w:widowControl w:val="0"/>
      <w:pBdr>
        <w:top w:space="0" w:sz="0" w:val="nil"/>
        <w:left w:space="0" w:sz="0" w:val="nil"/>
        <w:bottom w:color="000000" w:space="1" w:sz="12" w:val="single"/>
        <w:right w:space="0" w:sz="0" w:val="nil"/>
        <w:between w:space="0" w:sz="0" w:val="nil"/>
      </w:pBdr>
      <w:shd w:fill="auto" w:val="clear"/>
      <w:tabs>
        <w:tab w:val="left" w:leader="none" w:pos="1760"/>
      </w:tabs>
      <w:spacing w:after="0" w:before="0" w:line="240" w:lineRule="auto"/>
      <w:ind w:left="288" w:right="0" w:hanging="288"/>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0"/>
      </w:tabs>
      <w:spacing w:after="0" w:before="0" w:line="240" w:lineRule="auto"/>
      <w:ind w:left="288" w:right="0" w:hanging="288"/>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0"/>
        <w:bCs w:val="0"/>
        <w:i w:val="0"/>
        <w:iCs w:val="0"/>
        <w:color w:val="000000"/>
        <w:sz w:val="20"/>
        <w:szCs w:val="20"/>
      </w:rPr>
    </w:lvl>
    <w:lvl w:ilvl="1">
      <w:start w:val="1"/>
      <w:numFmt w:val="decimal"/>
      <w:lvlText w:val="%1.%2."/>
      <w:lvlJc w:val="left"/>
      <w:pPr>
        <w:ind w:left="900" w:hanging="540"/>
      </w:pPr>
      <w:rPr>
        <w:b w:val="0"/>
        <w:bCs w:val="0"/>
        <w:i w:val="0"/>
        <w:iCs w:val="0"/>
        <w:color w:val="000000"/>
        <w:sz w:val="20"/>
        <w:szCs w:val="20"/>
      </w:rPr>
    </w:lvl>
    <w:lvl w:ilvl="2">
      <w:start w:val="1"/>
      <w:numFmt w:val="decimal"/>
      <w:lvlText w:val="%1.%2.%3."/>
      <w:lvlJc w:val="left"/>
      <w:pPr>
        <w:ind w:left="1620" w:hanging="720"/>
      </w:pPr>
      <w:rPr>
        <w:b w:val="0"/>
        <w:bCs w:val="0"/>
        <w:i w:val="0"/>
        <w:iCs w:val="0"/>
        <w:color w:val="000000"/>
        <w:sz w:val="20"/>
        <w:szCs w:val="20"/>
      </w:rPr>
    </w:lvl>
    <w:lvl w:ilvl="3">
      <w:start w:val="1"/>
      <w:numFmt w:val="decimal"/>
      <w:lvlText w:val="%1.%2.%3.%4."/>
      <w:lvlJc w:val="left"/>
      <w:pPr>
        <w:ind w:left="2340" w:hanging="720"/>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widowControl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widowControl w:val="1"/>
      <w:spacing w:after="60" w:before="240" w:lineRule="auto"/>
    </w:pPr>
    <w:rPr>
      <w:b w:val="1"/>
      <w:bCs w:val="1"/>
    </w:rPr>
  </w:style>
  <w:style w:type="paragraph" w:styleId="Heading4">
    <w:name w:val="heading 4"/>
    <w:basedOn w:val="Normal"/>
    <w:next w:val="Normal"/>
    <w:pPr>
      <w:keepNext w:val="1"/>
    </w:pPr>
    <w:rPr>
      <w:u w:val="single"/>
    </w:rPr>
  </w:style>
  <w:style w:type="paragraph" w:styleId="Heading5">
    <w:name w:val="heading 5"/>
    <w:basedOn w:val="Normal"/>
    <w:next w:val="Normal"/>
    <w:pPr>
      <w:keepNext w:val="1"/>
      <w:jc w:val="center"/>
    </w:pPr>
    <w:rPr>
      <w:b w:val="1"/>
      <w:bCs w:val="1"/>
      <w:sz w:val="48"/>
      <w:szCs w:val="48"/>
    </w:rPr>
  </w:style>
  <w:style w:type="paragraph" w:styleId="Heading6">
    <w:name w:val="heading 6"/>
    <w:basedOn w:val="Normal"/>
    <w:next w:val="Normal"/>
    <w:pPr>
      <w:keepNext w:val="1"/>
    </w:pPr>
    <w:rPr>
      <w:i w:val="1"/>
      <w:iCs w:val="1"/>
    </w:rPr>
  </w:style>
  <w:style w:type="paragraph" w:styleId="Title">
    <w:name w:val="Title"/>
    <w:basedOn w:val="Normal"/>
    <w:next w:val="Normal"/>
    <w:pPr>
      <w:spacing w:after="0" w:lineRule="auto"/>
      <w:ind w:left="-446" w:right="-907"/>
      <w:jc w:val="center"/>
    </w:pPr>
    <w:rPr>
      <w:b w:val="1"/>
      <w:bCs w:val="1"/>
      <w:sz w:val="28"/>
      <w:szCs w:val="28"/>
    </w:rPr>
  </w:style>
  <w:style w:type="paragraph" w:styleId="Subtitle">
    <w:name w:val="Subtitle"/>
    <w:basedOn w:val="Normal"/>
    <w:next w:val="Normal"/>
    <w:pPr>
      <w:spacing w:after="60" w:lineRule="auto"/>
      <w:jc w:val="center"/>
    </w:pPr>
    <w:rPr>
      <w:rFonts w:ascii="Arial" w:cs="Arial" w:eastAsia="Arial" w:hAnsi="Arial"/>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