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3643C036"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776CB6">
        <w:rPr>
          <w:rFonts w:ascii="Aptos" w:hAnsi="Aptos"/>
          <w:b/>
          <w:color w:val="2F5496" w:themeColor="accent1" w:themeShade="BF"/>
          <w:sz w:val="28"/>
          <w:szCs w:val="28"/>
        </w:rPr>
        <w:t>Central</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p>
    <w:p w14:paraId="0576D7DC" w14:textId="005CE4EF"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F82085" w:rsidRPr="00F82085">
        <w:rPr>
          <w:rFonts w:ascii="Aptos" w:hAnsi="Aptos"/>
          <w:b/>
          <w:color w:val="2F5496" w:themeColor="accent1" w:themeShade="BF"/>
          <w:sz w:val="28"/>
          <w:szCs w:val="28"/>
        </w:rPr>
        <w:t>270001190</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920860">
        <w:rPr>
          <w:rFonts w:ascii="Aptos" w:hAnsi="Aptos"/>
          <w:b/>
          <w:color w:val="2F5496" w:themeColor="accent1" w:themeShade="BF"/>
          <w:sz w:val="28"/>
          <w:szCs w:val="28"/>
        </w:rPr>
        <w:t>10/</w:t>
      </w:r>
      <w:r w:rsidR="004044E7">
        <w:rPr>
          <w:rFonts w:ascii="Aptos" w:hAnsi="Aptos"/>
          <w:b/>
          <w:color w:val="2F5496" w:themeColor="accent1" w:themeShade="BF"/>
          <w:sz w:val="28"/>
          <w:szCs w:val="28"/>
        </w:rPr>
        <w:t>23</w:t>
      </w:r>
      <w:r w:rsidR="00920860">
        <w:rPr>
          <w:rFonts w:ascii="Aptos" w:hAnsi="Aptos"/>
          <w:b/>
          <w:color w:val="2F5496" w:themeColor="accent1" w:themeShade="BF"/>
          <w:sz w:val="28"/>
          <w:szCs w:val="28"/>
        </w:rPr>
        <w:t>/26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2E135D">
      <w:pPr>
        <w:spacing w:after="6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36342B">
      <w:pPr>
        <w:spacing w:after="6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29FB3A72" w14:textId="77777777" w:rsidR="008C0809" w:rsidRDefault="008C0809">
      <w:pPr>
        <w:rPr>
          <w:rFonts w:ascii="Aptos" w:hAnsi="Aptos" w:cs="Calibri"/>
          <w:b/>
          <w:sz w:val="28"/>
          <w:szCs w:val="28"/>
          <w:u w:color="FF0000"/>
        </w:rPr>
      </w:pPr>
      <w:bookmarkStart w:id="4" w:name="_Hlk10539185"/>
      <w:r>
        <w:rPr>
          <w:rFonts w:ascii="Aptos" w:hAnsi="Aptos" w:cs="Calibri"/>
          <w:b/>
          <w:sz w:val="28"/>
          <w:szCs w:val="28"/>
        </w:rPr>
        <w:br w:type="page"/>
      </w:r>
    </w:p>
    <w:p w14:paraId="5468283E" w14:textId="576DCA6A"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5443B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000000"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4E2180">
      <w:pPr>
        <w:spacing w:after="40"/>
        <w:jc w:val="both"/>
        <w:rPr>
          <w:rFonts w:ascii="Aptos" w:hAnsi="Aptos"/>
          <w:b/>
          <w:sz w:val="28"/>
          <w:szCs w:val="28"/>
        </w:rPr>
      </w:pPr>
      <w:r w:rsidRPr="004E2180">
        <w:rPr>
          <w:rFonts w:ascii="Aptos" w:hAnsi="Aptos"/>
          <w:b/>
          <w:sz w:val="28"/>
          <w:szCs w:val="28"/>
        </w:rPr>
        <w:t>State or Local Procurement Requirements</w:t>
      </w:r>
    </w:p>
    <w:p w14:paraId="460CFFA6" w14:textId="77777777" w:rsidR="004F02EE" w:rsidRPr="004E2180" w:rsidRDefault="004F02EE">
      <w:pPr>
        <w:pStyle w:val="ListParagraph"/>
        <w:numPr>
          <w:ilvl w:val="0"/>
          <w:numId w:val="5"/>
        </w:numPr>
        <w:autoSpaceDE w:val="0"/>
        <w:autoSpaceDN w:val="0"/>
        <w:adjustRightInd w:val="0"/>
        <w:spacing w:after="40"/>
        <w:ind w:left="360"/>
        <w:jc w:val="both"/>
        <w:rPr>
          <w:rFonts w:ascii="Aptos" w:hAnsi="Aptos" w:cs="Calibri"/>
          <w:sz w:val="21"/>
          <w:szCs w:val="21"/>
        </w:rPr>
      </w:pPr>
      <w:r w:rsidRPr="004E2180">
        <w:rPr>
          <w:rFonts w:ascii="Aptos" w:hAnsi="Aptos" w:cs="Calibri"/>
          <w:sz w:val="21"/>
          <w:szCs w:val="21"/>
        </w:rPr>
        <w:t>All service providers must follow local and state procurement requirements for schools, both private and public, public-school districts, and libraries, as applicable.</w:t>
      </w:r>
    </w:p>
    <w:bookmarkEnd w:id="2"/>
    <w:bookmarkEnd w:id="4"/>
    <w:p w14:paraId="7385BDD9" w14:textId="18538B94" w:rsidR="00277900" w:rsidRDefault="00000000">
      <w:pPr>
        <w:rPr>
          <w:rFonts w:ascii="Aptos" w:hAnsi="Aptos"/>
          <w:b/>
          <w:sz w:val="28"/>
          <w:szCs w:val="28"/>
        </w:rPr>
      </w:pPr>
      <w:r>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A37B55" w:rsidRDefault="00BC11B8" w:rsidP="00DB6433">
      <w:pPr>
        <w:spacing w:after="60"/>
        <w:jc w:val="center"/>
        <w:rPr>
          <w:rFonts w:ascii="Aptos" w:hAnsi="Aptos" w:cs="Calibri"/>
          <w:b/>
          <w:bCs/>
        </w:rPr>
      </w:pPr>
      <w:bookmarkStart w:id="5" w:name="_Hlk195279226"/>
      <w:r w:rsidRPr="00A37B55">
        <w:rPr>
          <w:rFonts w:ascii="Aptos" w:hAnsi="Aptos" w:cs="Calibri"/>
          <w:b/>
          <w:bCs/>
        </w:rPr>
        <w:t>Review all details contained in RFP to verify products, services and quantities</w:t>
      </w:r>
    </w:p>
    <w:p w14:paraId="0931CB35" w14:textId="77777777" w:rsidR="00BC11B8" w:rsidRPr="00A37B55" w:rsidRDefault="00BC11B8" w:rsidP="00DB6433">
      <w:pPr>
        <w:spacing w:after="60"/>
        <w:jc w:val="center"/>
        <w:rPr>
          <w:rFonts w:ascii="Aptos" w:hAnsi="Aptos"/>
          <w:b/>
        </w:rPr>
      </w:pPr>
      <w:r w:rsidRPr="00A37B55">
        <w:rPr>
          <w:rFonts w:ascii="Aptos" w:hAnsi="Aptos" w:cs="Calibri"/>
          <w:b/>
          <w:bCs/>
        </w:rPr>
        <w:t>Refer to this RFP for specific bid/procurement details &amp; requirements</w:t>
      </w:r>
    </w:p>
    <w:p w14:paraId="4A655F88" w14:textId="77777777" w:rsidR="00BC11B8" w:rsidRPr="00A37B55" w:rsidRDefault="00BC11B8" w:rsidP="00DB6433">
      <w:pPr>
        <w:tabs>
          <w:tab w:val="left" w:pos="8490"/>
        </w:tabs>
        <w:spacing w:after="60"/>
        <w:jc w:val="both"/>
        <w:rPr>
          <w:rFonts w:ascii="Aptos" w:hAnsi="Aptos" w:cs="Calibri"/>
          <w:b/>
          <w:bCs/>
        </w:rPr>
      </w:pPr>
    </w:p>
    <w:bookmarkEnd w:id="5"/>
    <w:p w14:paraId="0F5AC3CD" w14:textId="45BEF90E" w:rsidR="00831660" w:rsidRPr="00A37B55" w:rsidRDefault="00831660" w:rsidP="00DB6433">
      <w:pPr>
        <w:tabs>
          <w:tab w:val="left" w:pos="8490"/>
        </w:tabs>
        <w:spacing w:after="60"/>
        <w:jc w:val="both"/>
        <w:rPr>
          <w:rFonts w:ascii="Aptos" w:hAnsi="Aptos" w:cs="Calibri"/>
          <w:b/>
          <w:bCs/>
        </w:rPr>
      </w:pPr>
      <w:r w:rsidRPr="00A37B55">
        <w:rPr>
          <w:rFonts w:ascii="Aptos" w:hAnsi="Aptos" w:cs="Calibri"/>
          <w:b/>
          <w:bCs/>
        </w:rPr>
        <w:t>Products should include all necessary hardware, ancillaries where applicable, each item listed should include associated eligible licenses, software, and basic maintenance and support.</w:t>
      </w:r>
    </w:p>
    <w:p w14:paraId="18BF7371" w14:textId="77777777" w:rsidR="00C21E2F" w:rsidRPr="00A37B55" w:rsidRDefault="00C21E2F" w:rsidP="00DB6433">
      <w:pPr>
        <w:tabs>
          <w:tab w:val="left" w:pos="8490"/>
        </w:tabs>
        <w:spacing w:after="60"/>
        <w:jc w:val="both"/>
        <w:rPr>
          <w:rFonts w:ascii="Aptos" w:hAnsi="Aptos" w:cs="Calibri"/>
          <w:b/>
          <w:bCs/>
          <w:color w:val="FF0000"/>
        </w:rPr>
      </w:pPr>
    </w:p>
    <w:p w14:paraId="617BD490" w14:textId="2DC796FC" w:rsidR="00C327ED" w:rsidRPr="000E6483" w:rsidRDefault="00A42AE0" w:rsidP="00DB6433">
      <w:pPr>
        <w:spacing w:after="6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6696919F" w14:textId="77777777" w:rsidR="00C327ED" w:rsidRDefault="00C327ED" w:rsidP="00DB6433">
      <w:pPr>
        <w:spacing w:after="60"/>
        <w:jc w:val="both"/>
        <w:rPr>
          <w:rFonts w:ascii="Aptos" w:hAnsi="Aptos"/>
          <w:b/>
          <w:sz w:val="21"/>
          <w:szCs w:val="21"/>
        </w:rPr>
      </w:pPr>
    </w:p>
    <w:p w14:paraId="29B81CA0"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172EE225"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7CA66BDF"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17854054"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F62621D" w14:textId="77777777" w:rsidR="000A4CA5" w:rsidRPr="000A4CA5" w:rsidRDefault="000A4CA5" w:rsidP="00311D7B">
      <w:pPr>
        <w:pStyle w:val="z1qcye"/>
        <w:numPr>
          <w:ilvl w:val="0"/>
          <w:numId w:val="19"/>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4B03B35C" w14:textId="6095D6E8"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6804B5F3"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5B7142">
        <w:rPr>
          <w:rStyle w:val="Strong"/>
          <w:rFonts w:ascii="Aptos" w:hAnsi="Aptos" w:cs="Arial"/>
          <w:sz w:val="22"/>
          <w:szCs w:val="22"/>
          <w:shd w:val="clear" w:color="auto" w:fill="DEEAF6" w:themeFill="accent5" w:themeFillTint="33"/>
        </w:rPr>
        <w:t>Eligibility Breakdown:</w:t>
      </w:r>
      <w:r w:rsidRPr="005B7142">
        <w:rPr>
          <w:rStyle w:val="inqyif"/>
          <w:rFonts w:ascii="Aptos" w:hAnsi="Aptos" w:cs="Arial"/>
          <w:sz w:val="22"/>
          <w:szCs w:val="22"/>
          <w:shd w:val="clear" w:color="auto" w:fill="DEEAF6" w:themeFill="accent5" w:themeFillTint="33"/>
        </w:rPr>
        <w:t xml:space="preserve"> For products and services that are not fully eligible (100%), the bidder must indicate the eligibility percentage in their bid/quote/proposal</w:t>
      </w:r>
      <w:r w:rsidRPr="00A37B55">
        <w:rPr>
          <w:rStyle w:val="inqyif"/>
          <w:rFonts w:ascii="Aptos" w:hAnsi="Aptos" w:cs="Arial"/>
          <w:sz w:val="22"/>
          <w:szCs w:val="22"/>
        </w:rPr>
        <w:t>.</w:t>
      </w:r>
    </w:p>
    <w:p w14:paraId="17C509D7"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35BC9362" w14:textId="384381A3" w:rsidR="0097504C" w:rsidRPr="009D5D18" w:rsidRDefault="0097504C" w:rsidP="00DE468D">
      <w:pPr>
        <w:pStyle w:val="ListParagraph"/>
        <w:ind w:left="360"/>
        <w:jc w:val="both"/>
        <w:rPr>
          <w:rFonts w:ascii="Aptos" w:eastAsia="PMingLiU" w:hAnsi="Aptos" w:cs="Calibri"/>
          <w:b/>
          <w:sz w:val="21"/>
          <w:szCs w:val="21"/>
          <w:u w:val="single"/>
          <w:lang w:eastAsia="zh-TW"/>
        </w:rPr>
      </w:pPr>
      <w:bookmarkStart w:id="6" w:name="_Hlk195279265"/>
    </w:p>
    <w:bookmarkEnd w:id="6"/>
    <w:p w14:paraId="2F7C629A" w14:textId="77777777" w:rsidR="00DE468D" w:rsidRDefault="00DE468D">
      <w:pPr>
        <w:rPr>
          <w:rFonts w:ascii="Aptos" w:hAnsi="Aptos"/>
          <w:b/>
          <w:bCs/>
          <w:sz w:val="28"/>
          <w:szCs w:val="28"/>
          <w:u w:val="single"/>
        </w:rPr>
      </w:pPr>
      <w:r>
        <w:rPr>
          <w:rFonts w:ascii="Aptos" w:hAnsi="Aptos"/>
          <w:b/>
          <w:bCs/>
          <w:sz w:val="28"/>
          <w:szCs w:val="28"/>
          <w:u w:val="single"/>
        </w:rPr>
        <w:br w:type="page"/>
      </w:r>
    </w:p>
    <w:p w14:paraId="60C07974" w14:textId="0205B1A3" w:rsidR="00302AD5" w:rsidRPr="00302AD5" w:rsidRDefault="00302AD5" w:rsidP="00302AD5">
      <w:pPr>
        <w:jc w:val="center"/>
        <w:rPr>
          <w:rFonts w:ascii="Aptos" w:hAnsi="Aptos"/>
          <w:b/>
          <w:bCs/>
          <w:sz w:val="28"/>
          <w:szCs w:val="28"/>
        </w:rPr>
      </w:pPr>
      <w:r w:rsidRPr="00302AD5">
        <w:rPr>
          <w:rFonts w:ascii="Aptos" w:hAnsi="Aptos"/>
          <w:b/>
          <w:bCs/>
          <w:sz w:val="28"/>
          <w:szCs w:val="28"/>
          <w:u w:val="single"/>
        </w:rPr>
        <w:lastRenderedPageBreak/>
        <w:t>Internal Connections</w:t>
      </w:r>
      <w:r w:rsidRPr="00302AD5">
        <w:rPr>
          <w:rFonts w:ascii="Aptos" w:hAnsi="Aptos"/>
          <w:b/>
          <w:bCs/>
          <w:sz w:val="28"/>
          <w:szCs w:val="28"/>
        </w:rPr>
        <w:t xml:space="preserve"> (IC)</w:t>
      </w:r>
    </w:p>
    <w:p w14:paraId="23AB9383" w14:textId="77777777" w:rsidR="00C52627" w:rsidRPr="00C77928" w:rsidRDefault="00C52627" w:rsidP="00302AD5">
      <w:pPr>
        <w:jc w:val="both"/>
        <w:rPr>
          <w:rFonts w:ascii="Aptos" w:eastAsia="PMingLiU" w:hAnsi="Aptos" w:cs="Calibri"/>
          <w:b/>
          <w:sz w:val="12"/>
          <w:szCs w:val="12"/>
          <w:lang w:eastAsia="zh-TW"/>
        </w:rPr>
      </w:pPr>
    </w:p>
    <w:p w14:paraId="0949CDA2" w14:textId="77777777" w:rsidR="00F206C4" w:rsidRPr="00C63580" w:rsidRDefault="00F206C4" w:rsidP="00DB57AD">
      <w:pPr>
        <w:jc w:val="both"/>
        <w:rPr>
          <w:rFonts w:ascii="Aptos" w:eastAsia="PMingLiU" w:hAnsi="Aptos" w:cs="Calibri"/>
          <w:sz w:val="8"/>
          <w:szCs w:val="8"/>
          <w:lang w:eastAsia="zh-TW"/>
        </w:rPr>
      </w:pPr>
      <w:r w:rsidRPr="00C63580">
        <w:rPr>
          <w:rFonts w:ascii="Aptos" w:eastAsia="PMingLiU" w:hAnsi="Aptos" w:cs="Calibri"/>
          <w:b/>
          <w:sz w:val="28"/>
          <w:szCs w:val="28"/>
          <w:lang w:eastAsia="zh-TW"/>
        </w:rPr>
        <w:t>SCOPE OF PROJECT / SERVICES</w:t>
      </w:r>
      <w:r w:rsidRPr="00C63580">
        <w:rPr>
          <w:rFonts w:ascii="Aptos" w:eastAsia="PMingLiU" w:hAnsi="Aptos" w:cs="Calibri"/>
          <w:sz w:val="8"/>
          <w:szCs w:val="8"/>
          <w:lang w:eastAsia="zh-TW"/>
        </w:rPr>
        <w:t xml:space="preserve"> </w:t>
      </w:r>
    </w:p>
    <w:p w14:paraId="6F627978" w14:textId="77777777" w:rsidR="00F206C4" w:rsidRPr="00C77928" w:rsidRDefault="00F206C4" w:rsidP="00DB6433">
      <w:pPr>
        <w:spacing w:after="60"/>
        <w:jc w:val="both"/>
        <w:rPr>
          <w:rFonts w:ascii="Aptos" w:eastAsia="PMingLiU" w:hAnsi="Aptos" w:cs="Calibri"/>
          <w:b/>
          <w:sz w:val="12"/>
          <w:szCs w:val="12"/>
          <w:lang w:eastAsia="zh-TW"/>
        </w:rPr>
      </w:pPr>
    </w:p>
    <w:p w14:paraId="2FDAE496" w14:textId="36EF621E"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Due to E-Rate bidding rules, we will accept bids that specify items / components that are</w:t>
      </w:r>
    </w:p>
    <w:p w14:paraId="7B8008DC" w14:textId="77777777"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FUNCTIONAL EQUIVALENT to the part numbers listed in this document.</w:t>
      </w:r>
    </w:p>
    <w:p w14:paraId="301197EA" w14:textId="77777777" w:rsidR="00F206C4" w:rsidRPr="00C77928" w:rsidRDefault="00F206C4" w:rsidP="00232213">
      <w:pPr>
        <w:jc w:val="both"/>
        <w:rPr>
          <w:rFonts w:ascii="Aptos" w:eastAsia="PMingLiU" w:hAnsi="Aptos" w:cs="Calibri"/>
          <w:sz w:val="12"/>
          <w:szCs w:val="12"/>
          <w:lang w:eastAsia="zh-TW"/>
        </w:rPr>
      </w:pP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5"/>
        <w:gridCol w:w="540"/>
        <w:gridCol w:w="720"/>
        <w:gridCol w:w="1173"/>
        <w:gridCol w:w="2517"/>
        <w:gridCol w:w="4770"/>
      </w:tblGrid>
      <w:tr w:rsidR="00F66AAF" w:rsidRPr="00C63580" w14:paraId="38A42082" w14:textId="77777777" w:rsidTr="00C367CF">
        <w:tc>
          <w:tcPr>
            <w:tcW w:w="355" w:type="dxa"/>
            <w:vAlign w:val="center"/>
          </w:tcPr>
          <w:p w14:paraId="3F36B594" w14:textId="4C85110B" w:rsidR="00F66AAF" w:rsidRPr="00C63580" w:rsidRDefault="00F66AAF" w:rsidP="00791F9A">
            <w:pPr>
              <w:jc w:val="center"/>
              <w:rPr>
                <w:rFonts w:ascii="Aptos" w:eastAsia="PMingLiU" w:hAnsi="Aptos" w:cs="Calibri"/>
                <w:b/>
                <w:sz w:val="18"/>
                <w:szCs w:val="18"/>
                <w:lang w:eastAsia="zh-TW"/>
              </w:rPr>
            </w:pPr>
            <w:r>
              <w:rPr>
                <w:rFonts w:ascii="Aptos" w:eastAsia="PMingLiU" w:hAnsi="Aptos" w:cs="Calibri"/>
                <w:b/>
                <w:sz w:val="18"/>
                <w:szCs w:val="18"/>
                <w:lang w:eastAsia="zh-TW"/>
              </w:rPr>
              <w:t>LN</w:t>
            </w:r>
          </w:p>
        </w:tc>
        <w:tc>
          <w:tcPr>
            <w:tcW w:w="540" w:type="dxa"/>
            <w:vAlign w:val="center"/>
          </w:tcPr>
          <w:p w14:paraId="2DFDCBC5" w14:textId="060CD0BD" w:rsidR="00F66AAF" w:rsidRPr="00C63580" w:rsidRDefault="00F66AAF" w:rsidP="00D74380">
            <w:pPr>
              <w:jc w:val="center"/>
              <w:rPr>
                <w:rFonts w:ascii="Aptos" w:eastAsia="PMingLiU" w:hAnsi="Aptos" w:cs="Calibri"/>
                <w:b/>
                <w:sz w:val="18"/>
                <w:szCs w:val="18"/>
                <w:lang w:eastAsia="zh-TW"/>
              </w:rPr>
            </w:pPr>
            <w:bookmarkStart w:id="7" w:name="_Hlk85039682"/>
            <w:r w:rsidRPr="00C63580">
              <w:rPr>
                <w:rFonts w:ascii="Aptos" w:eastAsia="PMingLiU" w:hAnsi="Aptos" w:cs="Calibri"/>
                <w:b/>
                <w:sz w:val="18"/>
                <w:szCs w:val="18"/>
                <w:lang w:eastAsia="zh-TW"/>
              </w:rPr>
              <w:t>Qty</w:t>
            </w:r>
          </w:p>
        </w:tc>
        <w:tc>
          <w:tcPr>
            <w:tcW w:w="720" w:type="dxa"/>
            <w:vAlign w:val="center"/>
          </w:tcPr>
          <w:p w14:paraId="7C7EFD49"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Unit</w:t>
            </w:r>
          </w:p>
        </w:tc>
        <w:tc>
          <w:tcPr>
            <w:tcW w:w="1173" w:type="dxa"/>
            <w:vAlign w:val="center"/>
          </w:tcPr>
          <w:p w14:paraId="2EC7C69E"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Mfgr</w:t>
            </w:r>
          </w:p>
        </w:tc>
        <w:tc>
          <w:tcPr>
            <w:tcW w:w="2517" w:type="dxa"/>
            <w:vAlign w:val="center"/>
          </w:tcPr>
          <w:p w14:paraId="411B60DB"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Model / SKU#</w:t>
            </w:r>
          </w:p>
        </w:tc>
        <w:tc>
          <w:tcPr>
            <w:tcW w:w="4770" w:type="dxa"/>
            <w:vAlign w:val="center"/>
          </w:tcPr>
          <w:p w14:paraId="525F9A02"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Description</w:t>
            </w:r>
          </w:p>
        </w:tc>
      </w:tr>
      <w:tr w:rsidR="00B63FE1" w:rsidRPr="008B4F7F" w14:paraId="4DBBCEC7" w14:textId="77777777" w:rsidTr="00C367CF">
        <w:tc>
          <w:tcPr>
            <w:tcW w:w="355" w:type="dxa"/>
            <w:vAlign w:val="center"/>
          </w:tcPr>
          <w:p w14:paraId="151FB0C9" w14:textId="10AFBF8F" w:rsidR="00B63FE1" w:rsidRPr="008B4F7F" w:rsidRDefault="00B63FE1" w:rsidP="00B63FE1">
            <w:pPr>
              <w:jc w:val="center"/>
              <w:rPr>
                <w:rFonts w:ascii="Aptos" w:eastAsia="PMingLiU" w:hAnsi="Aptos" w:cs="Calibri"/>
                <w:sz w:val="20"/>
                <w:szCs w:val="20"/>
                <w:lang w:eastAsia="zh-TW"/>
              </w:rPr>
            </w:pPr>
            <w:r w:rsidRPr="008B4F7F">
              <w:rPr>
                <w:rFonts w:ascii="Aptos" w:eastAsia="PMingLiU" w:hAnsi="Aptos" w:cs="Calibri"/>
                <w:sz w:val="20"/>
                <w:szCs w:val="20"/>
                <w:lang w:eastAsia="zh-TW"/>
              </w:rPr>
              <w:t>1</w:t>
            </w:r>
          </w:p>
        </w:tc>
        <w:tc>
          <w:tcPr>
            <w:tcW w:w="540" w:type="dxa"/>
            <w:tcBorders>
              <w:top w:val="single" w:sz="4" w:space="0" w:color="auto"/>
              <w:left w:val="single" w:sz="4" w:space="0" w:color="auto"/>
              <w:bottom w:val="single" w:sz="4" w:space="0" w:color="auto"/>
              <w:right w:val="single" w:sz="4" w:space="0" w:color="auto"/>
            </w:tcBorders>
            <w:vAlign w:val="center"/>
          </w:tcPr>
          <w:p w14:paraId="0B7FF6A5" w14:textId="32DAC2E8"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5</w:t>
            </w:r>
          </w:p>
        </w:tc>
        <w:tc>
          <w:tcPr>
            <w:tcW w:w="720" w:type="dxa"/>
            <w:tcBorders>
              <w:top w:val="single" w:sz="4" w:space="0" w:color="auto"/>
              <w:left w:val="nil"/>
              <w:bottom w:val="single" w:sz="4" w:space="0" w:color="auto"/>
              <w:right w:val="single" w:sz="4" w:space="0" w:color="auto"/>
            </w:tcBorders>
            <w:vAlign w:val="center"/>
          </w:tcPr>
          <w:p w14:paraId="4725BC22" w14:textId="0D741979"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single" w:sz="4" w:space="0" w:color="auto"/>
              <w:left w:val="nil"/>
              <w:bottom w:val="single" w:sz="4" w:space="0" w:color="auto"/>
              <w:right w:val="single" w:sz="4" w:space="0" w:color="auto"/>
            </w:tcBorders>
            <w:vAlign w:val="center"/>
          </w:tcPr>
          <w:p w14:paraId="0DAF33EE" w14:textId="76DED23E"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Ubiquiti</w:t>
            </w:r>
          </w:p>
        </w:tc>
        <w:tc>
          <w:tcPr>
            <w:tcW w:w="2517" w:type="dxa"/>
            <w:tcBorders>
              <w:top w:val="single" w:sz="4" w:space="0" w:color="auto"/>
              <w:left w:val="nil"/>
              <w:bottom w:val="single" w:sz="4" w:space="0" w:color="auto"/>
              <w:right w:val="single" w:sz="4" w:space="0" w:color="auto"/>
            </w:tcBorders>
            <w:vAlign w:val="center"/>
          </w:tcPr>
          <w:p w14:paraId="1567E131" w14:textId="447F9DCC"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ECS-48S-PoE</w:t>
            </w:r>
          </w:p>
        </w:tc>
        <w:tc>
          <w:tcPr>
            <w:tcW w:w="4770" w:type="dxa"/>
            <w:tcBorders>
              <w:top w:val="single" w:sz="4" w:space="0" w:color="auto"/>
              <w:left w:val="nil"/>
              <w:bottom w:val="single" w:sz="4" w:space="0" w:color="auto"/>
              <w:right w:val="single" w:sz="4" w:space="0" w:color="auto"/>
            </w:tcBorders>
            <w:vAlign w:val="center"/>
          </w:tcPr>
          <w:p w14:paraId="4D36E353" w14:textId="0FDFE9D6"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Switch, Enterprise-grade 48-port, Layer 3 Etherlighting™ PoE+++ switch with Stacking support and high-capacity 10 GbE RJ45 and 25G SFP28</w:t>
            </w:r>
          </w:p>
        </w:tc>
      </w:tr>
      <w:tr w:rsidR="00B63FE1" w:rsidRPr="008B4F7F" w14:paraId="72D75D78" w14:textId="77777777" w:rsidTr="00C367CF">
        <w:tc>
          <w:tcPr>
            <w:tcW w:w="355" w:type="dxa"/>
            <w:vAlign w:val="center"/>
          </w:tcPr>
          <w:p w14:paraId="706D8184" w14:textId="41548AA5" w:rsidR="00B63FE1" w:rsidRPr="008B4F7F" w:rsidRDefault="00B63FE1" w:rsidP="00B63FE1">
            <w:pPr>
              <w:jc w:val="center"/>
              <w:rPr>
                <w:rFonts w:ascii="Aptos" w:eastAsia="PMingLiU" w:hAnsi="Aptos" w:cs="Calibri"/>
                <w:sz w:val="20"/>
                <w:szCs w:val="20"/>
                <w:lang w:eastAsia="zh-TW"/>
              </w:rPr>
            </w:pPr>
            <w:r w:rsidRPr="008B4F7F">
              <w:rPr>
                <w:rFonts w:ascii="Aptos" w:eastAsia="PMingLiU" w:hAnsi="Aptos" w:cs="Calibri"/>
                <w:sz w:val="20"/>
                <w:szCs w:val="20"/>
                <w:lang w:eastAsia="zh-TW"/>
              </w:rPr>
              <w:t>2</w:t>
            </w:r>
          </w:p>
        </w:tc>
        <w:tc>
          <w:tcPr>
            <w:tcW w:w="540" w:type="dxa"/>
            <w:tcBorders>
              <w:top w:val="nil"/>
              <w:left w:val="single" w:sz="4" w:space="0" w:color="auto"/>
              <w:bottom w:val="single" w:sz="4" w:space="0" w:color="auto"/>
              <w:right w:val="single" w:sz="4" w:space="0" w:color="auto"/>
            </w:tcBorders>
            <w:vAlign w:val="center"/>
          </w:tcPr>
          <w:p w14:paraId="38F88A26" w14:textId="1C1A820C"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3</w:t>
            </w:r>
          </w:p>
        </w:tc>
        <w:tc>
          <w:tcPr>
            <w:tcW w:w="720" w:type="dxa"/>
            <w:tcBorders>
              <w:top w:val="nil"/>
              <w:left w:val="nil"/>
              <w:bottom w:val="single" w:sz="4" w:space="0" w:color="auto"/>
              <w:right w:val="single" w:sz="4" w:space="0" w:color="auto"/>
            </w:tcBorders>
            <w:vAlign w:val="center"/>
          </w:tcPr>
          <w:p w14:paraId="31D8B630" w14:textId="3FFBCEE4"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nil"/>
              <w:left w:val="nil"/>
              <w:bottom w:val="single" w:sz="4" w:space="0" w:color="auto"/>
              <w:right w:val="single" w:sz="4" w:space="0" w:color="auto"/>
            </w:tcBorders>
            <w:vAlign w:val="center"/>
          </w:tcPr>
          <w:p w14:paraId="61D215DE" w14:textId="4AA0AF2C"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Ubiquiti</w:t>
            </w:r>
          </w:p>
        </w:tc>
        <w:tc>
          <w:tcPr>
            <w:tcW w:w="2517" w:type="dxa"/>
            <w:tcBorders>
              <w:top w:val="nil"/>
              <w:left w:val="nil"/>
              <w:bottom w:val="single" w:sz="4" w:space="0" w:color="auto"/>
              <w:right w:val="single" w:sz="4" w:space="0" w:color="auto"/>
            </w:tcBorders>
            <w:vAlign w:val="center"/>
          </w:tcPr>
          <w:p w14:paraId="539DDBF6" w14:textId="20E88719"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USW-Pro-Max-48-PoE</w:t>
            </w:r>
          </w:p>
        </w:tc>
        <w:tc>
          <w:tcPr>
            <w:tcW w:w="4770" w:type="dxa"/>
            <w:tcBorders>
              <w:top w:val="nil"/>
              <w:left w:val="nil"/>
              <w:bottom w:val="single" w:sz="4" w:space="0" w:color="auto"/>
              <w:right w:val="single" w:sz="4" w:space="0" w:color="auto"/>
            </w:tcBorders>
            <w:vAlign w:val="center"/>
          </w:tcPr>
          <w:p w14:paraId="6A0C3EF0" w14:textId="205AF98C"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Switch, - L3 - managed - 16 x 1/2.5G (8 PoE+, 8 PoE++) + 32 x 10/100/1000 (24 PoE+, 8 PoE++) + 4 x 10 Gigabit SFP+ - rack-mountable - PoE++ (720 W)</w:t>
            </w:r>
          </w:p>
        </w:tc>
      </w:tr>
      <w:tr w:rsidR="00B63FE1" w:rsidRPr="008B4F7F" w14:paraId="13F5FA6D" w14:textId="77777777" w:rsidTr="00C367CF">
        <w:tc>
          <w:tcPr>
            <w:tcW w:w="355" w:type="dxa"/>
            <w:vAlign w:val="center"/>
          </w:tcPr>
          <w:p w14:paraId="16401D9E" w14:textId="6357B089" w:rsidR="00B63FE1" w:rsidRPr="008B4F7F" w:rsidRDefault="00B63FE1" w:rsidP="00B63FE1">
            <w:pPr>
              <w:jc w:val="center"/>
              <w:rPr>
                <w:rFonts w:ascii="Aptos" w:eastAsia="PMingLiU" w:hAnsi="Aptos" w:cs="Calibri"/>
                <w:sz w:val="20"/>
                <w:szCs w:val="20"/>
                <w:lang w:eastAsia="zh-TW"/>
              </w:rPr>
            </w:pPr>
            <w:r w:rsidRPr="008B4F7F">
              <w:rPr>
                <w:rFonts w:ascii="Aptos" w:eastAsia="PMingLiU" w:hAnsi="Aptos" w:cs="Calibri"/>
                <w:sz w:val="20"/>
                <w:szCs w:val="20"/>
                <w:lang w:eastAsia="zh-TW"/>
              </w:rPr>
              <w:t>3</w:t>
            </w:r>
          </w:p>
        </w:tc>
        <w:tc>
          <w:tcPr>
            <w:tcW w:w="540" w:type="dxa"/>
            <w:tcBorders>
              <w:top w:val="nil"/>
              <w:left w:val="single" w:sz="4" w:space="0" w:color="auto"/>
              <w:bottom w:val="single" w:sz="4" w:space="0" w:color="auto"/>
              <w:right w:val="single" w:sz="4" w:space="0" w:color="auto"/>
            </w:tcBorders>
            <w:vAlign w:val="center"/>
          </w:tcPr>
          <w:p w14:paraId="75840771" w14:textId="5D24455A"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4</w:t>
            </w:r>
          </w:p>
        </w:tc>
        <w:tc>
          <w:tcPr>
            <w:tcW w:w="720" w:type="dxa"/>
            <w:tcBorders>
              <w:top w:val="nil"/>
              <w:left w:val="nil"/>
              <w:bottom w:val="single" w:sz="4" w:space="0" w:color="auto"/>
              <w:right w:val="single" w:sz="4" w:space="0" w:color="auto"/>
            </w:tcBorders>
            <w:vAlign w:val="center"/>
          </w:tcPr>
          <w:p w14:paraId="651E77B4" w14:textId="53857133"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nil"/>
              <w:left w:val="nil"/>
              <w:bottom w:val="single" w:sz="4" w:space="0" w:color="auto"/>
              <w:right w:val="single" w:sz="4" w:space="0" w:color="auto"/>
            </w:tcBorders>
            <w:vAlign w:val="center"/>
          </w:tcPr>
          <w:p w14:paraId="5CE325C1" w14:textId="415493C2"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Ubiquiti</w:t>
            </w:r>
          </w:p>
        </w:tc>
        <w:tc>
          <w:tcPr>
            <w:tcW w:w="2517" w:type="dxa"/>
            <w:tcBorders>
              <w:top w:val="nil"/>
              <w:left w:val="nil"/>
              <w:bottom w:val="single" w:sz="4" w:space="0" w:color="auto"/>
              <w:right w:val="single" w:sz="4" w:space="0" w:color="auto"/>
            </w:tcBorders>
            <w:vAlign w:val="center"/>
          </w:tcPr>
          <w:p w14:paraId="112C5680" w14:textId="64B55855"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UACC-DAC-QSFP28-0.5M</w:t>
            </w:r>
          </w:p>
        </w:tc>
        <w:tc>
          <w:tcPr>
            <w:tcW w:w="4770" w:type="dxa"/>
            <w:tcBorders>
              <w:top w:val="nil"/>
              <w:left w:val="nil"/>
              <w:bottom w:val="single" w:sz="4" w:space="0" w:color="auto"/>
              <w:right w:val="single" w:sz="4" w:space="0" w:color="auto"/>
            </w:tcBorders>
            <w:vAlign w:val="center"/>
          </w:tcPr>
          <w:p w14:paraId="6CFF29DD" w14:textId="1C0AB36F"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Attaching Cable,100GBase direct attach cable - QSFP28 (M) to QSFP28 (M) - 0.5 m - 0.3 in - fiber optic</w:t>
            </w:r>
          </w:p>
        </w:tc>
      </w:tr>
      <w:tr w:rsidR="00B63FE1" w:rsidRPr="008B4F7F" w14:paraId="75EF5CA5" w14:textId="77777777" w:rsidTr="00C367CF">
        <w:tc>
          <w:tcPr>
            <w:tcW w:w="355" w:type="dxa"/>
            <w:vAlign w:val="center"/>
          </w:tcPr>
          <w:p w14:paraId="6F05B09B" w14:textId="361C5462" w:rsidR="00B63FE1" w:rsidRPr="008B4F7F" w:rsidRDefault="00B63FE1" w:rsidP="00B63FE1">
            <w:pPr>
              <w:jc w:val="center"/>
              <w:rPr>
                <w:rFonts w:ascii="Aptos" w:eastAsia="PMingLiU" w:hAnsi="Aptos" w:cs="Calibri"/>
                <w:sz w:val="20"/>
                <w:szCs w:val="20"/>
                <w:lang w:eastAsia="zh-TW"/>
              </w:rPr>
            </w:pPr>
            <w:r>
              <w:rPr>
                <w:rFonts w:ascii="Aptos" w:eastAsia="PMingLiU" w:hAnsi="Aptos" w:cs="Calibri"/>
                <w:sz w:val="20"/>
                <w:szCs w:val="20"/>
                <w:lang w:eastAsia="zh-TW"/>
              </w:rPr>
              <w:t>4</w:t>
            </w:r>
          </w:p>
        </w:tc>
        <w:tc>
          <w:tcPr>
            <w:tcW w:w="540" w:type="dxa"/>
            <w:tcBorders>
              <w:top w:val="nil"/>
              <w:left w:val="single" w:sz="4" w:space="0" w:color="auto"/>
              <w:bottom w:val="single" w:sz="4" w:space="0" w:color="auto"/>
              <w:right w:val="single" w:sz="4" w:space="0" w:color="auto"/>
            </w:tcBorders>
            <w:vAlign w:val="center"/>
          </w:tcPr>
          <w:p w14:paraId="519DA293" w14:textId="61927B25"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20</w:t>
            </w:r>
          </w:p>
        </w:tc>
        <w:tc>
          <w:tcPr>
            <w:tcW w:w="720" w:type="dxa"/>
            <w:tcBorders>
              <w:top w:val="nil"/>
              <w:left w:val="nil"/>
              <w:bottom w:val="single" w:sz="4" w:space="0" w:color="auto"/>
              <w:right w:val="single" w:sz="4" w:space="0" w:color="auto"/>
            </w:tcBorders>
            <w:vAlign w:val="center"/>
          </w:tcPr>
          <w:p w14:paraId="2772CE6D" w14:textId="4B8B21C4"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nil"/>
              <w:left w:val="nil"/>
              <w:bottom w:val="single" w:sz="4" w:space="0" w:color="auto"/>
              <w:right w:val="single" w:sz="4" w:space="0" w:color="auto"/>
            </w:tcBorders>
            <w:vAlign w:val="center"/>
          </w:tcPr>
          <w:p w14:paraId="7A65EA16" w14:textId="339B488D"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Ubiquiti</w:t>
            </w:r>
          </w:p>
        </w:tc>
        <w:tc>
          <w:tcPr>
            <w:tcW w:w="2517" w:type="dxa"/>
            <w:tcBorders>
              <w:top w:val="nil"/>
              <w:left w:val="nil"/>
              <w:bottom w:val="single" w:sz="4" w:space="0" w:color="auto"/>
              <w:right w:val="single" w:sz="4" w:space="0" w:color="auto"/>
            </w:tcBorders>
            <w:vAlign w:val="center"/>
          </w:tcPr>
          <w:p w14:paraId="32D23A90" w14:textId="673B15B9"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UACC-OM-MM-10G-D</w:t>
            </w:r>
          </w:p>
        </w:tc>
        <w:tc>
          <w:tcPr>
            <w:tcW w:w="4770" w:type="dxa"/>
            <w:tcBorders>
              <w:top w:val="nil"/>
              <w:left w:val="nil"/>
              <w:bottom w:val="single" w:sz="4" w:space="0" w:color="auto"/>
              <w:right w:val="single" w:sz="4" w:space="0" w:color="auto"/>
            </w:tcBorders>
            <w:vAlign w:val="center"/>
          </w:tcPr>
          <w:p w14:paraId="461D87CB" w14:textId="60BD4581"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SFP+ transceiver module - 10 GigE optical - LC/UPC duplex multi-mode - up to 984 ft - 850 nm</w:t>
            </w:r>
          </w:p>
        </w:tc>
      </w:tr>
      <w:tr w:rsidR="00B63FE1" w:rsidRPr="008B4F7F" w14:paraId="4C2CA1A9" w14:textId="77777777" w:rsidTr="00C367CF">
        <w:tc>
          <w:tcPr>
            <w:tcW w:w="355" w:type="dxa"/>
            <w:vAlign w:val="center"/>
          </w:tcPr>
          <w:p w14:paraId="436C1C41" w14:textId="77DDFA8E" w:rsidR="00B63FE1" w:rsidRPr="008B4F7F" w:rsidRDefault="00B63FE1" w:rsidP="00B63FE1">
            <w:pPr>
              <w:jc w:val="center"/>
              <w:rPr>
                <w:rFonts w:ascii="Aptos" w:eastAsia="PMingLiU" w:hAnsi="Aptos" w:cs="Calibri"/>
                <w:sz w:val="20"/>
                <w:szCs w:val="20"/>
                <w:lang w:eastAsia="zh-TW"/>
              </w:rPr>
            </w:pPr>
            <w:r>
              <w:rPr>
                <w:rFonts w:ascii="Aptos" w:eastAsia="PMingLiU" w:hAnsi="Aptos" w:cs="Calibri"/>
                <w:sz w:val="20"/>
                <w:szCs w:val="20"/>
                <w:lang w:eastAsia="zh-TW"/>
              </w:rPr>
              <w:t>5</w:t>
            </w:r>
          </w:p>
        </w:tc>
        <w:tc>
          <w:tcPr>
            <w:tcW w:w="540" w:type="dxa"/>
            <w:tcBorders>
              <w:top w:val="nil"/>
              <w:left w:val="single" w:sz="4" w:space="0" w:color="auto"/>
              <w:bottom w:val="single" w:sz="4" w:space="0" w:color="auto"/>
              <w:right w:val="single" w:sz="4" w:space="0" w:color="auto"/>
            </w:tcBorders>
            <w:vAlign w:val="center"/>
          </w:tcPr>
          <w:p w14:paraId="7993C755" w14:textId="582043E6"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2</w:t>
            </w:r>
          </w:p>
        </w:tc>
        <w:tc>
          <w:tcPr>
            <w:tcW w:w="720" w:type="dxa"/>
            <w:tcBorders>
              <w:top w:val="nil"/>
              <w:left w:val="nil"/>
              <w:bottom w:val="single" w:sz="4" w:space="0" w:color="auto"/>
              <w:right w:val="single" w:sz="4" w:space="0" w:color="auto"/>
            </w:tcBorders>
            <w:vAlign w:val="center"/>
          </w:tcPr>
          <w:p w14:paraId="3552EE9B" w14:textId="68D9A6D1"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nil"/>
              <w:left w:val="nil"/>
              <w:bottom w:val="single" w:sz="4" w:space="0" w:color="auto"/>
              <w:right w:val="single" w:sz="4" w:space="0" w:color="auto"/>
            </w:tcBorders>
            <w:vAlign w:val="center"/>
          </w:tcPr>
          <w:p w14:paraId="49988B59" w14:textId="00E19F15"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Ubiquiti</w:t>
            </w:r>
          </w:p>
        </w:tc>
        <w:tc>
          <w:tcPr>
            <w:tcW w:w="2517" w:type="dxa"/>
            <w:tcBorders>
              <w:top w:val="nil"/>
              <w:left w:val="nil"/>
              <w:bottom w:val="single" w:sz="4" w:space="0" w:color="auto"/>
              <w:right w:val="single" w:sz="4" w:space="0" w:color="auto"/>
            </w:tcBorders>
            <w:vAlign w:val="center"/>
          </w:tcPr>
          <w:p w14:paraId="7C26A367" w14:textId="6AA0A578"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UACC-OM-SM-1G-S</w:t>
            </w:r>
          </w:p>
        </w:tc>
        <w:tc>
          <w:tcPr>
            <w:tcW w:w="4770" w:type="dxa"/>
            <w:tcBorders>
              <w:top w:val="nil"/>
              <w:left w:val="nil"/>
              <w:bottom w:val="single" w:sz="4" w:space="0" w:color="auto"/>
              <w:right w:val="single" w:sz="4" w:space="0" w:color="auto"/>
            </w:tcBorders>
            <w:vAlign w:val="center"/>
          </w:tcPr>
          <w:p w14:paraId="7157B0F5" w14:textId="2FF8D951"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SFP (mini-GBIC) transceiver module - 10GbE - 10GBASE-BiDi - LC single-mode - up to 6.2 miles - 1270 nm / 1330 nm (pack of 2)</w:t>
            </w:r>
          </w:p>
        </w:tc>
      </w:tr>
      <w:tr w:rsidR="00B63FE1" w:rsidRPr="008B4F7F" w14:paraId="52B1084E" w14:textId="77777777" w:rsidTr="00C367CF">
        <w:tc>
          <w:tcPr>
            <w:tcW w:w="355" w:type="dxa"/>
            <w:vAlign w:val="center"/>
          </w:tcPr>
          <w:p w14:paraId="05BCE7FC" w14:textId="412AAE30" w:rsidR="00B63FE1" w:rsidRDefault="00C367CF" w:rsidP="00B63FE1">
            <w:pPr>
              <w:jc w:val="center"/>
              <w:rPr>
                <w:rFonts w:ascii="Aptos" w:eastAsia="PMingLiU" w:hAnsi="Aptos" w:cs="Calibri"/>
                <w:sz w:val="20"/>
                <w:szCs w:val="20"/>
                <w:lang w:eastAsia="zh-TW"/>
              </w:rPr>
            </w:pPr>
            <w:r>
              <w:rPr>
                <w:rFonts w:ascii="Aptos" w:eastAsia="PMingLiU" w:hAnsi="Aptos" w:cs="Calibri"/>
                <w:sz w:val="20"/>
                <w:szCs w:val="20"/>
                <w:lang w:eastAsia="zh-TW"/>
              </w:rPr>
              <w:t>6</w:t>
            </w:r>
          </w:p>
        </w:tc>
        <w:tc>
          <w:tcPr>
            <w:tcW w:w="540" w:type="dxa"/>
            <w:tcBorders>
              <w:top w:val="nil"/>
              <w:left w:val="single" w:sz="4" w:space="0" w:color="auto"/>
              <w:bottom w:val="single" w:sz="4" w:space="0" w:color="auto"/>
              <w:right w:val="single" w:sz="4" w:space="0" w:color="auto"/>
            </w:tcBorders>
            <w:vAlign w:val="center"/>
          </w:tcPr>
          <w:p w14:paraId="3B1C6326" w14:textId="78B5CCDE"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30</w:t>
            </w:r>
          </w:p>
        </w:tc>
        <w:tc>
          <w:tcPr>
            <w:tcW w:w="720" w:type="dxa"/>
            <w:tcBorders>
              <w:top w:val="nil"/>
              <w:left w:val="nil"/>
              <w:bottom w:val="single" w:sz="4" w:space="0" w:color="auto"/>
              <w:right w:val="single" w:sz="4" w:space="0" w:color="auto"/>
            </w:tcBorders>
            <w:vAlign w:val="center"/>
          </w:tcPr>
          <w:p w14:paraId="4B146FE9" w14:textId="718155AF"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nil"/>
              <w:left w:val="nil"/>
              <w:bottom w:val="single" w:sz="4" w:space="0" w:color="auto"/>
              <w:right w:val="single" w:sz="4" w:space="0" w:color="auto"/>
            </w:tcBorders>
            <w:vAlign w:val="center"/>
          </w:tcPr>
          <w:p w14:paraId="6A1625F1" w14:textId="09C1104A"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Ubiquiti</w:t>
            </w:r>
          </w:p>
        </w:tc>
        <w:tc>
          <w:tcPr>
            <w:tcW w:w="2517" w:type="dxa"/>
            <w:tcBorders>
              <w:top w:val="nil"/>
              <w:left w:val="nil"/>
              <w:bottom w:val="single" w:sz="4" w:space="0" w:color="auto"/>
              <w:right w:val="single" w:sz="4" w:space="0" w:color="auto"/>
            </w:tcBorders>
            <w:vAlign w:val="center"/>
          </w:tcPr>
          <w:p w14:paraId="6EBA88C2" w14:textId="4E9AA825"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U7-PRO-XG-US</w:t>
            </w:r>
          </w:p>
        </w:tc>
        <w:tc>
          <w:tcPr>
            <w:tcW w:w="4770" w:type="dxa"/>
            <w:tcBorders>
              <w:top w:val="nil"/>
              <w:left w:val="nil"/>
              <w:bottom w:val="single" w:sz="4" w:space="0" w:color="auto"/>
              <w:right w:val="single" w:sz="4" w:space="0" w:color="auto"/>
            </w:tcBorders>
            <w:vAlign w:val="center"/>
          </w:tcPr>
          <w:p w14:paraId="051D5E23" w14:textId="5E892542"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 xml:space="preserve">Ubiquiti U7 Pro XG, Ceiling-mounted 6-stream WiFi 7 Access Point </w:t>
            </w:r>
            <w:r>
              <w:rPr>
                <w:rFonts w:ascii="Aptos" w:hAnsi="Aptos"/>
                <w:b/>
                <w:bCs/>
                <w:color w:val="0000CC"/>
                <w:sz w:val="20"/>
                <w:szCs w:val="20"/>
              </w:rPr>
              <w:t>(W</w:t>
            </w:r>
            <w:r w:rsidR="00CE7E6B">
              <w:rPr>
                <w:rFonts w:ascii="Aptos" w:hAnsi="Aptos"/>
                <w:b/>
                <w:bCs/>
                <w:color w:val="0000CC"/>
                <w:sz w:val="20"/>
                <w:szCs w:val="20"/>
              </w:rPr>
              <w:t>hite</w:t>
            </w:r>
            <w:r>
              <w:rPr>
                <w:rFonts w:ascii="Aptos" w:hAnsi="Aptos"/>
                <w:b/>
                <w:bCs/>
                <w:color w:val="000000"/>
                <w:sz w:val="20"/>
                <w:szCs w:val="20"/>
              </w:rPr>
              <w:t>)</w:t>
            </w:r>
          </w:p>
        </w:tc>
      </w:tr>
      <w:tr w:rsidR="00B63FE1" w:rsidRPr="008B4F7F" w14:paraId="269D555E" w14:textId="77777777" w:rsidTr="00C367CF">
        <w:tc>
          <w:tcPr>
            <w:tcW w:w="355" w:type="dxa"/>
            <w:vAlign w:val="center"/>
          </w:tcPr>
          <w:p w14:paraId="1813EC19" w14:textId="1D69404E" w:rsidR="00B63FE1" w:rsidRDefault="00C367CF" w:rsidP="00B63FE1">
            <w:pPr>
              <w:jc w:val="center"/>
              <w:rPr>
                <w:rFonts w:ascii="Aptos" w:eastAsia="PMingLiU" w:hAnsi="Aptos" w:cs="Calibri"/>
                <w:sz w:val="20"/>
                <w:szCs w:val="20"/>
                <w:lang w:eastAsia="zh-TW"/>
              </w:rPr>
            </w:pPr>
            <w:r>
              <w:rPr>
                <w:rFonts w:ascii="Aptos" w:eastAsia="PMingLiU" w:hAnsi="Aptos" w:cs="Calibri"/>
                <w:sz w:val="20"/>
                <w:szCs w:val="20"/>
                <w:lang w:eastAsia="zh-TW"/>
              </w:rPr>
              <w:t>7</w:t>
            </w:r>
          </w:p>
        </w:tc>
        <w:tc>
          <w:tcPr>
            <w:tcW w:w="540" w:type="dxa"/>
            <w:tcBorders>
              <w:top w:val="nil"/>
              <w:left w:val="single" w:sz="4" w:space="0" w:color="auto"/>
              <w:bottom w:val="single" w:sz="4" w:space="0" w:color="auto"/>
              <w:right w:val="single" w:sz="4" w:space="0" w:color="auto"/>
            </w:tcBorders>
            <w:vAlign w:val="center"/>
          </w:tcPr>
          <w:p w14:paraId="4F554902" w14:textId="6A6DC6FD"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4</w:t>
            </w:r>
          </w:p>
        </w:tc>
        <w:tc>
          <w:tcPr>
            <w:tcW w:w="720" w:type="dxa"/>
            <w:tcBorders>
              <w:top w:val="nil"/>
              <w:left w:val="nil"/>
              <w:bottom w:val="single" w:sz="4" w:space="0" w:color="auto"/>
              <w:right w:val="single" w:sz="4" w:space="0" w:color="auto"/>
            </w:tcBorders>
            <w:vAlign w:val="center"/>
          </w:tcPr>
          <w:p w14:paraId="15DEA7F9" w14:textId="1077C4B6"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nil"/>
              <w:left w:val="nil"/>
              <w:bottom w:val="single" w:sz="4" w:space="0" w:color="auto"/>
              <w:right w:val="single" w:sz="4" w:space="0" w:color="auto"/>
            </w:tcBorders>
            <w:vAlign w:val="center"/>
          </w:tcPr>
          <w:p w14:paraId="19DEB18F" w14:textId="5DC223B3"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Ubiquiti</w:t>
            </w:r>
          </w:p>
        </w:tc>
        <w:tc>
          <w:tcPr>
            <w:tcW w:w="2517" w:type="dxa"/>
            <w:tcBorders>
              <w:top w:val="nil"/>
              <w:left w:val="nil"/>
              <w:bottom w:val="single" w:sz="4" w:space="0" w:color="auto"/>
              <w:right w:val="single" w:sz="4" w:space="0" w:color="auto"/>
            </w:tcBorders>
            <w:vAlign w:val="center"/>
          </w:tcPr>
          <w:p w14:paraId="0F4E73F9" w14:textId="7BE082F5"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E7-US</w:t>
            </w:r>
          </w:p>
        </w:tc>
        <w:tc>
          <w:tcPr>
            <w:tcW w:w="4770" w:type="dxa"/>
            <w:tcBorders>
              <w:top w:val="nil"/>
              <w:left w:val="nil"/>
              <w:bottom w:val="single" w:sz="4" w:space="0" w:color="auto"/>
              <w:right w:val="single" w:sz="4" w:space="0" w:color="auto"/>
            </w:tcBorders>
            <w:vAlign w:val="center"/>
          </w:tcPr>
          <w:p w14:paraId="4FC3D3B3" w14:textId="22C6F587"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Enterprise-grade indoor Access Point with 10-stream WiFi 7 performance, a 10 GbE uplink, and a redundant GbE port for high availability.</w:t>
            </w:r>
            <w:r w:rsidR="00CE7E6B">
              <w:rPr>
                <w:rFonts w:ascii="Aptos" w:hAnsi="Aptos"/>
                <w:b/>
                <w:bCs/>
                <w:color w:val="0000CC"/>
                <w:sz w:val="20"/>
                <w:szCs w:val="20"/>
              </w:rPr>
              <w:t xml:space="preserve"> (White</w:t>
            </w:r>
            <w:r w:rsidR="00CE7E6B">
              <w:rPr>
                <w:rFonts w:ascii="Aptos" w:hAnsi="Aptos"/>
                <w:b/>
                <w:bCs/>
                <w:color w:val="000000"/>
                <w:sz w:val="20"/>
                <w:szCs w:val="20"/>
              </w:rPr>
              <w:t>)</w:t>
            </w:r>
          </w:p>
        </w:tc>
      </w:tr>
      <w:tr w:rsidR="00B63FE1" w:rsidRPr="008B4F7F" w14:paraId="0EF20667" w14:textId="77777777" w:rsidTr="00C367CF">
        <w:tc>
          <w:tcPr>
            <w:tcW w:w="355" w:type="dxa"/>
            <w:vAlign w:val="center"/>
          </w:tcPr>
          <w:p w14:paraId="7293EA72" w14:textId="69D4B425" w:rsidR="00B63FE1" w:rsidRDefault="00C367CF" w:rsidP="00B63FE1">
            <w:pPr>
              <w:jc w:val="center"/>
              <w:rPr>
                <w:rFonts w:ascii="Aptos" w:eastAsia="PMingLiU" w:hAnsi="Aptos" w:cs="Calibri"/>
                <w:sz w:val="20"/>
                <w:szCs w:val="20"/>
                <w:lang w:eastAsia="zh-TW"/>
              </w:rPr>
            </w:pPr>
            <w:r>
              <w:rPr>
                <w:rFonts w:ascii="Aptos" w:eastAsia="PMingLiU" w:hAnsi="Aptos" w:cs="Calibri"/>
                <w:sz w:val="20"/>
                <w:szCs w:val="20"/>
                <w:lang w:eastAsia="zh-TW"/>
              </w:rPr>
              <w:t>8</w:t>
            </w:r>
          </w:p>
        </w:tc>
        <w:tc>
          <w:tcPr>
            <w:tcW w:w="540" w:type="dxa"/>
            <w:tcBorders>
              <w:top w:val="nil"/>
              <w:left w:val="single" w:sz="4" w:space="0" w:color="auto"/>
              <w:bottom w:val="single" w:sz="4" w:space="0" w:color="auto"/>
              <w:right w:val="single" w:sz="4" w:space="0" w:color="auto"/>
            </w:tcBorders>
            <w:vAlign w:val="center"/>
          </w:tcPr>
          <w:p w14:paraId="2F9609E8" w14:textId="5F8584E1"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1</w:t>
            </w:r>
          </w:p>
        </w:tc>
        <w:tc>
          <w:tcPr>
            <w:tcW w:w="720" w:type="dxa"/>
            <w:tcBorders>
              <w:top w:val="nil"/>
              <w:left w:val="nil"/>
              <w:bottom w:val="single" w:sz="4" w:space="0" w:color="auto"/>
              <w:right w:val="single" w:sz="4" w:space="0" w:color="auto"/>
            </w:tcBorders>
            <w:vAlign w:val="center"/>
          </w:tcPr>
          <w:p w14:paraId="2A06D1BD" w14:textId="20478308" w:rsidR="00B63FE1" w:rsidRPr="008B4F7F" w:rsidRDefault="00B63FE1" w:rsidP="00B63FE1">
            <w:pPr>
              <w:jc w:val="center"/>
              <w:rPr>
                <w:rFonts w:ascii="Aptos" w:eastAsia="PMingLiU" w:hAnsi="Aptos" w:cs="Calibri"/>
                <w:sz w:val="20"/>
                <w:szCs w:val="20"/>
                <w:lang w:eastAsia="zh-TW"/>
              </w:rPr>
            </w:pPr>
            <w:r>
              <w:rPr>
                <w:rFonts w:ascii="Aptos" w:hAnsi="Aptos"/>
                <w:color w:val="000000"/>
                <w:sz w:val="20"/>
                <w:szCs w:val="20"/>
              </w:rPr>
              <w:t>Each</w:t>
            </w:r>
          </w:p>
        </w:tc>
        <w:tc>
          <w:tcPr>
            <w:tcW w:w="1173" w:type="dxa"/>
            <w:tcBorders>
              <w:top w:val="nil"/>
              <w:left w:val="nil"/>
              <w:bottom w:val="single" w:sz="4" w:space="0" w:color="auto"/>
              <w:right w:val="single" w:sz="4" w:space="0" w:color="auto"/>
            </w:tcBorders>
            <w:vAlign w:val="center"/>
          </w:tcPr>
          <w:p w14:paraId="62A90BEF" w14:textId="727A94D5"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IT Services</w:t>
            </w:r>
          </w:p>
        </w:tc>
        <w:tc>
          <w:tcPr>
            <w:tcW w:w="2517" w:type="dxa"/>
            <w:tcBorders>
              <w:top w:val="nil"/>
              <w:left w:val="nil"/>
              <w:bottom w:val="single" w:sz="4" w:space="0" w:color="auto"/>
              <w:right w:val="single" w:sz="4" w:space="0" w:color="auto"/>
            </w:tcBorders>
            <w:vAlign w:val="center"/>
          </w:tcPr>
          <w:p w14:paraId="0A3BCC95" w14:textId="17669E9B"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Labor</w:t>
            </w:r>
            <w:r w:rsidR="00E8754A">
              <w:rPr>
                <w:rFonts w:ascii="Aptos" w:hAnsi="Aptos"/>
                <w:color w:val="000000"/>
                <w:sz w:val="20"/>
                <w:szCs w:val="20"/>
              </w:rPr>
              <w:t xml:space="preserve"> (</w:t>
            </w:r>
            <w:r w:rsidR="00EE6E1C">
              <w:rPr>
                <w:rFonts w:ascii="Aptos" w:hAnsi="Aptos"/>
                <w:color w:val="000000"/>
                <w:sz w:val="20"/>
                <w:szCs w:val="20"/>
              </w:rPr>
              <w:t>estimated</w:t>
            </w:r>
            <w:r w:rsidR="00E8754A">
              <w:rPr>
                <w:rFonts w:ascii="Aptos" w:hAnsi="Aptos"/>
                <w:color w:val="000000"/>
                <w:sz w:val="20"/>
                <w:szCs w:val="20"/>
              </w:rPr>
              <w:t xml:space="preserve"> 28 </w:t>
            </w:r>
            <w:r w:rsidR="00EE6E1C">
              <w:rPr>
                <w:rFonts w:ascii="Aptos" w:hAnsi="Aptos"/>
                <w:color w:val="000000"/>
                <w:sz w:val="20"/>
                <w:szCs w:val="20"/>
              </w:rPr>
              <w:t>hrs.</w:t>
            </w:r>
            <w:r w:rsidR="00E8754A">
              <w:rPr>
                <w:rFonts w:ascii="Aptos" w:hAnsi="Aptos"/>
                <w:color w:val="000000"/>
                <w:sz w:val="20"/>
                <w:szCs w:val="20"/>
              </w:rPr>
              <w:t>)</w:t>
            </w:r>
          </w:p>
        </w:tc>
        <w:tc>
          <w:tcPr>
            <w:tcW w:w="4770" w:type="dxa"/>
            <w:tcBorders>
              <w:top w:val="nil"/>
              <w:left w:val="nil"/>
              <w:bottom w:val="single" w:sz="4" w:space="0" w:color="auto"/>
              <w:right w:val="single" w:sz="4" w:space="0" w:color="auto"/>
            </w:tcBorders>
            <w:vAlign w:val="center"/>
          </w:tcPr>
          <w:p w14:paraId="3324342A" w14:textId="0DF3A781" w:rsidR="00B63FE1" w:rsidRPr="008B4F7F" w:rsidRDefault="00B63FE1" w:rsidP="00B63FE1">
            <w:pPr>
              <w:rPr>
                <w:rFonts w:ascii="Aptos" w:eastAsia="PMingLiU" w:hAnsi="Aptos" w:cs="Calibri"/>
                <w:sz w:val="20"/>
                <w:szCs w:val="20"/>
                <w:lang w:eastAsia="zh-TW"/>
              </w:rPr>
            </w:pPr>
            <w:r>
              <w:rPr>
                <w:rFonts w:ascii="Aptos" w:hAnsi="Aptos"/>
                <w:color w:val="000000"/>
                <w:sz w:val="20"/>
                <w:szCs w:val="20"/>
              </w:rPr>
              <w:t>Labor for installation,  initial configuration, and programming</w:t>
            </w:r>
            <w:r w:rsidR="008C0809">
              <w:rPr>
                <w:rFonts w:ascii="Aptos" w:hAnsi="Aptos"/>
                <w:color w:val="000000"/>
                <w:sz w:val="20"/>
                <w:szCs w:val="20"/>
              </w:rPr>
              <w:t xml:space="preserve">; </w:t>
            </w:r>
            <w:r w:rsidR="00F57247">
              <w:rPr>
                <w:rFonts w:ascii="Aptos" w:hAnsi="Aptos"/>
                <w:color w:val="000000"/>
                <w:sz w:val="20"/>
                <w:szCs w:val="20"/>
              </w:rPr>
              <w:t>drop</w:t>
            </w:r>
            <w:r w:rsidR="008C0809">
              <w:rPr>
                <w:rFonts w:ascii="Aptos" w:hAnsi="Aptos"/>
                <w:color w:val="000000"/>
                <w:sz w:val="20"/>
                <w:szCs w:val="20"/>
              </w:rPr>
              <w:t xml:space="preserve"> and replace.</w:t>
            </w:r>
          </w:p>
        </w:tc>
      </w:tr>
      <w:bookmarkEnd w:id="7"/>
    </w:tbl>
    <w:p w14:paraId="6394CFB0" w14:textId="5EF084FA" w:rsidR="009D7A4F" w:rsidRDefault="009D7A4F" w:rsidP="00232213">
      <w:pPr>
        <w:jc w:val="both"/>
        <w:rPr>
          <w:rFonts w:ascii="Aptos" w:eastAsia="PMingLiU" w:hAnsi="Aptos" w:cs="Calibri"/>
          <w:b/>
          <w:sz w:val="21"/>
          <w:szCs w:val="21"/>
          <w:u w:val="single"/>
          <w:lang w:eastAsia="zh-TW"/>
        </w:rPr>
      </w:pPr>
    </w:p>
    <w:p w14:paraId="31BB5A2C" w14:textId="6C06DF0A" w:rsidR="00311D7B" w:rsidRPr="00311D7B" w:rsidRDefault="00311D7B" w:rsidP="00311D7B">
      <w:pPr>
        <w:pStyle w:val="ListParagraph"/>
        <w:numPr>
          <w:ilvl w:val="0"/>
          <w:numId w:val="19"/>
        </w:numPr>
        <w:spacing w:before="120" w:after="120"/>
        <w:rPr>
          <w:rFonts w:ascii="Aptos" w:eastAsia="Times New Roman" w:hAnsi="Aptos"/>
        </w:rPr>
      </w:pPr>
      <w:r w:rsidRPr="00311D7B">
        <w:rPr>
          <w:rFonts w:ascii="Aptos" w:eastAsia="Times New Roman" w:hAnsi="Aptos" w:cs="Arial"/>
          <w:b/>
          <w:bCs/>
        </w:rPr>
        <w:t>Firewalls and Components:</w:t>
      </w:r>
      <w:r w:rsidRPr="00311D7B">
        <w:rPr>
          <w:rFonts w:ascii="Aptos" w:eastAsia="Times New Roman" w:hAnsi="Aptos" w:cs="Arial"/>
        </w:rPr>
        <w:t xml:space="preserve"> Where not 100% eligible, explicitly indicate the percentage eligibility.</w:t>
      </w:r>
    </w:p>
    <w:p w14:paraId="7B7F1668" w14:textId="1402C45D" w:rsidR="00311D7B" w:rsidRPr="00311D7B" w:rsidRDefault="00311D7B" w:rsidP="00311D7B">
      <w:pPr>
        <w:pStyle w:val="ListParagraph"/>
        <w:numPr>
          <w:ilvl w:val="0"/>
          <w:numId w:val="19"/>
        </w:numPr>
        <w:spacing w:before="120" w:after="120"/>
        <w:rPr>
          <w:rFonts w:ascii="Aptos" w:eastAsia="Times New Roman" w:hAnsi="Aptos"/>
        </w:rPr>
      </w:pPr>
      <w:r w:rsidRPr="005B7142">
        <w:rPr>
          <w:rFonts w:ascii="Aptos" w:eastAsia="Times New Roman" w:hAnsi="Aptos" w:cs="Arial"/>
          <w:b/>
          <w:bCs/>
          <w:shd w:val="clear" w:color="auto" w:fill="DEEAF6" w:themeFill="accent5" w:themeFillTint="33"/>
        </w:rPr>
        <w:t>Eligibility Breakdown:</w:t>
      </w:r>
      <w:r w:rsidRPr="005B7142">
        <w:rPr>
          <w:rFonts w:ascii="Aptos" w:eastAsia="Times New Roman" w:hAnsi="Aptos" w:cs="Arial"/>
          <w:shd w:val="clear" w:color="auto" w:fill="DEEAF6" w:themeFill="accent5" w:themeFillTint="33"/>
        </w:rPr>
        <w:t xml:space="preserve"> For products and services that are not fully eligible (100%), the bidder must indicate the eligibility percentage in their bid/quote/proposal</w:t>
      </w:r>
      <w:r w:rsidRPr="00311D7B">
        <w:rPr>
          <w:rFonts w:ascii="Aptos" w:eastAsia="Times New Roman" w:hAnsi="Aptos" w:cs="Arial"/>
        </w:rPr>
        <w:t>.</w:t>
      </w:r>
    </w:p>
    <w:p w14:paraId="3C35B2A2" w14:textId="62D602D4" w:rsidR="00311D7B" w:rsidRPr="00311D7B" w:rsidRDefault="00311D7B" w:rsidP="00311D7B">
      <w:pPr>
        <w:pStyle w:val="ListParagraph"/>
        <w:numPr>
          <w:ilvl w:val="0"/>
          <w:numId w:val="19"/>
        </w:numPr>
        <w:spacing w:before="120" w:after="120"/>
        <w:jc w:val="both"/>
        <w:rPr>
          <w:rFonts w:ascii="Aptos" w:eastAsia="PMingLiU" w:hAnsi="Aptos" w:cs="Calibri"/>
          <w:b/>
          <w:u w:val="single"/>
          <w:lang w:eastAsia="zh-TW"/>
        </w:rPr>
      </w:pPr>
      <w:r w:rsidRPr="004A7E3D">
        <w:rPr>
          <w:rFonts w:ascii="Aptos" w:eastAsia="Times New Roman" w:hAnsi="Aptos" w:cs="Arial"/>
          <w:b/>
          <w:bCs/>
          <w:shd w:val="clear" w:color="auto" w:fill="FFFFCC"/>
        </w:rPr>
        <w:t>Excel Component:</w:t>
      </w:r>
      <w:r w:rsidRPr="004A7E3D">
        <w:rPr>
          <w:rFonts w:ascii="Aptos" w:eastAsia="Times New Roman" w:hAnsi="Aptos" w:cs="Arial"/>
          <w:shd w:val="clear" w:color="auto" w:fill="FFFFCC"/>
        </w:rPr>
        <w:t xml:space="preserve"> Bids / quotes / proposals containing 5 or more line items must provide an addendum in Excel Format</w:t>
      </w:r>
      <w:r w:rsidRPr="00311D7B">
        <w:rPr>
          <w:rFonts w:ascii="Aptos" w:eastAsia="Times New Roman" w:hAnsi="Aptos" w:cs="Arial"/>
        </w:rPr>
        <w:t>.</w:t>
      </w:r>
    </w:p>
    <w:p w14:paraId="54C7A553" w14:textId="77777777" w:rsidR="00105A74" w:rsidRPr="00F735D9" w:rsidRDefault="00000000" w:rsidP="000718A2">
      <w:pPr>
        <w:spacing w:after="60"/>
        <w:ind w:left="360" w:hanging="360"/>
        <w:jc w:val="both"/>
        <w:rPr>
          <w:rFonts w:ascii="Aptos" w:eastAsia="PMingLiU" w:hAnsi="Aptos" w:cs="Calibri"/>
          <w:b/>
          <w:sz w:val="21"/>
          <w:szCs w:val="21"/>
          <w:lang w:eastAsia="zh-TW"/>
        </w:rPr>
      </w:pPr>
      <w:r>
        <w:rPr>
          <w:rFonts w:ascii="Aptos" w:hAnsi="Aptos"/>
          <w:b/>
          <w:caps/>
          <w:color w:val="2F5496" w:themeColor="accent1" w:themeShade="BF"/>
          <w:sz w:val="21"/>
          <w:szCs w:val="21"/>
          <w:lang w:val="en"/>
        </w:rPr>
        <w:pict w14:anchorId="46D0D6A7">
          <v:rect id="_x0000_i1027" style="width:0;height:1.5pt" o:hralign="center" o:hrstd="t" o:hr="t" fillcolor="#a0a0a0" stroked="f"/>
        </w:pict>
      </w:r>
    </w:p>
    <w:p w14:paraId="756CB7FE" w14:textId="77777777" w:rsidR="0097504C" w:rsidRDefault="0097504C" w:rsidP="00232213">
      <w:pPr>
        <w:ind w:left="720"/>
        <w:jc w:val="both"/>
        <w:rPr>
          <w:rFonts w:ascii="Aptos" w:hAnsi="Aptos"/>
          <w:b/>
          <w:color w:val="000000"/>
          <w:sz w:val="16"/>
          <w:szCs w:val="16"/>
          <w:u w:color="FF0000"/>
        </w:rPr>
      </w:pPr>
    </w:p>
    <w:p w14:paraId="0F4BDBD5" w14:textId="05FA575C" w:rsidR="006C11B6" w:rsidRPr="006C11B6" w:rsidRDefault="006C11B6" w:rsidP="006C11B6">
      <w:pPr>
        <w:spacing w:before="480" w:after="480"/>
        <w:rPr>
          <w:rFonts w:ascii="Aptos" w:eastAsia="Times New Roman" w:hAnsi="Aptos" w:cs="Arial"/>
        </w:rPr>
      </w:pPr>
    </w:p>
    <w:p w14:paraId="73D2AE3C" w14:textId="77777777" w:rsidR="009B7D7C" w:rsidRDefault="009B7D7C">
      <w:pPr>
        <w:rPr>
          <w:rFonts w:ascii="Aptos" w:hAnsi="Aptos" w:cs="Calibri"/>
          <w:b/>
          <w:sz w:val="28"/>
          <w:szCs w:val="28"/>
        </w:rPr>
      </w:pPr>
      <w:r>
        <w:rPr>
          <w:rFonts w:ascii="Aptos" w:hAnsi="Aptos" w:cs="Calibri"/>
          <w:b/>
          <w:sz w:val="28"/>
          <w:szCs w:val="28"/>
        </w:rPr>
        <w:br w:type="page"/>
      </w:r>
    </w:p>
    <w:p w14:paraId="51C4B41E" w14:textId="536564A3"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000000"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28"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6E31AF">
      <w:pPr>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71BF41A2" w14:textId="77777777" w:rsidR="006E31AF" w:rsidRPr="0040728C" w:rsidRDefault="006E31AF" w:rsidP="006E31AF">
      <w:pPr>
        <w:rPr>
          <w:rFonts w:ascii="Aptos" w:eastAsia="Times New Roman" w:hAnsi="Aptos" w:cs="Arial"/>
          <w:sz w:val="16"/>
          <w:szCs w:val="16"/>
        </w:rPr>
      </w:pPr>
    </w:p>
    <w:p w14:paraId="4D0B5A7C" w14:textId="0DEDD91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002F0D30">
        <w:rPr>
          <w:rFonts w:ascii="Aptos" w:eastAsia="Times New Roman" w:hAnsi="Aptos" w:cs="Arial"/>
        </w:rPr>
        <w:t>P</w:t>
      </w:r>
      <w:r w:rsidRPr="007E00AC">
        <w:rPr>
          <w:rFonts w:ascii="Aptos" w:eastAsia="Times New Roman" w:hAnsi="Aptos" w:cs="Arial"/>
          <w:b/>
          <w:bCs/>
          <w:u w:val="single"/>
        </w:rPr>
        <w:t xml:space="preserve">hone calls will </w:t>
      </w:r>
      <w:r w:rsidR="00C41DD1">
        <w:rPr>
          <w:rFonts w:ascii="Aptos" w:eastAsia="Times New Roman" w:hAnsi="Aptos" w:cs="Arial"/>
          <w:b/>
          <w:bCs/>
          <w:u w:val="single"/>
        </w:rPr>
        <w:t xml:space="preserve">not </w:t>
      </w:r>
      <w:r w:rsidRPr="007E00AC">
        <w:rPr>
          <w:rFonts w:ascii="Aptos" w:eastAsia="Times New Roman" w:hAnsi="Aptos" w:cs="Arial"/>
          <w:b/>
          <w:bCs/>
          <w:u w:val="single"/>
        </w:rPr>
        <w:t>be accepted</w:t>
      </w:r>
      <w:r w:rsidRPr="003A0C10">
        <w:rPr>
          <w:rFonts w:ascii="Aptos" w:eastAsia="Times New Roman" w:hAnsi="Aptos" w:cs="Arial"/>
        </w:rPr>
        <w:t>.</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000000"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29"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553BB" w14:textId="77777777" w:rsidR="00A83180" w:rsidRDefault="00A83180" w:rsidP="00947EB4">
      <w:r>
        <w:separator/>
      </w:r>
    </w:p>
  </w:endnote>
  <w:endnote w:type="continuationSeparator" w:id="0">
    <w:p w14:paraId="08D2E185" w14:textId="77777777" w:rsidR="00A83180" w:rsidRDefault="00A83180"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6B2BD" w14:textId="77777777" w:rsidR="00A83180" w:rsidRDefault="00A83180" w:rsidP="00947EB4">
      <w:r>
        <w:separator/>
      </w:r>
    </w:p>
  </w:footnote>
  <w:footnote w:type="continuationSeparator" w:id="0">
    <w:p w14:paraId="3A99A220" w14:textId="77777777" w:rsidR="00A83180" w:rsidRDefault="00A83180"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47E7698E" w14:textId="77777777" w:rsidR="003440CC" w:rsidRPr="003440CC" w:rsidRDefault="003440CC" w:rsidP="003440CC">
    <w:pPr>
      <w:ind w:left="180"/>
      <w:jc w:val="center"/>
      <w:rPr>
        <w:rFonts w:ascii="Aptos" w:hAnsi="Aptos"/>
        <w:b/>
        <w:color w:val="2F5496" w:themeColor="accent1" w:themeShade="BF"/>
        <w:sz w:val="28"/>
        <w:szCs w:val="28"/>
      </w:rPr>
    </w:pPr>
    <w:r w:rsidRPr="003440CC">
      <w:rPr>
        <w:rFonts w:ascii="Aptos" w:hAnsi="Aptos"/>
        <w:b/>
        <w:color w:val="2F5496" w:themeColor="accent1" w:themeShade="BF"/>
        <w:sz w:val="28"/>
        <w:szCs w:val="28"/>
      </w:rPr>
      <w:t>Central Community Unit School District 3</w:t>
    </w:r>
  </w:p>
  <w:p w14:paraId="32A701F6" w14:textId="13C959FC" w:rsidR="002A32C5" w:rsidRPr="003440CC" w:rsidRDefault="003440CC" w:rsidP="003440CC">
    <w:pPr>
      <w:ind w:left="180"/>
      <w:jc w:val="center"/>
      <w:rPr>
        <w:rFonts w:ascii="Aptos" w:hAnsi="Aptos"/>
        <w:b/>
        <w:color w:val="2F5496" w:themeColor="accent1" w:themeShade="BF"/>
      </w:rPr>
    </w:pPr>
    <w:r w:rsidRPr="003440CC">
      <w:rPr>
        <w:rFonts w:ascii="Aptos" w:hAnsi="Aptos"/>
        <w:b/>
        <w:color w:val="2F5496" w:themeColor="accent1" w:themeShade="BF"/>
      </w:rPr>
      <w:t>BEN:  136517</w:t>
    </w:r>
    <w:r w:rsidR="002A32C5" w:rsidRPr="003440CC">
      <w:rPr>
        <w:rFonts w:ascii="Aptos" w:hAnsi="Aptos"/>
        <w:b/>
        <w:color w:val="2F5496" w:themeColor="accent1" w:themeShade="BF"/>
      </w:rPr>
      <w:t xml:space="preserve"> </w:t>
    </w:r>
  </w:p>
  <w:p w14:paraId="237490D6" w14:textId="29C59594" w:rsidR="00E7043B" w:rsidRPr="003440CC" w:rsidRDefault="00000000" w:rsidP="00E7043B">
    <w:pPr>
      <w:ind w:left="180"/>
      <w:jc w:val="center"/>
      <w:rPr>
        <w:rFonts w:ascii="Aptos" w:hAnsi="Aptos"/>
        <w:b/>
        <w:color w:val="2F5496" w:themeColor="accent1" w:themeShade="BF"/>
      </w:rPr>
    </w:pPr>
    <w:r>
      <w:rPr>
        <w:rFonts w:ascii="Aptos" w:hAnsi="Aptos"/>
        <w:b/>
      </w:rPr>
      <w:pict w14:anchorId="1C0820F7">
        <v:rect id="_x0000_i1030"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7C32EEA0" w14:textId="77777777" w:rsidR="006C7DB2" w:rsidRDefault="006C7DB2" w:rsidP="00147F01">
    <w:pPr>
      <w:jc w:val="center"/>
      <w:rPr>
        <w:rFonts w:ascii="Aptos" w:eastAsia="DengXian Light" w:hAnsi="Aptos"/>
        <w:b/>
        <w:color w:val="2F5496" w:themeColor="accent1" w:themeShade="BF"/>
        <w:sz w:val="28"/>
        <w:szCs w:val="28"/>
      </w:rPr>
    </w:pPr>
    <w:r w:rsidRPr="006C7DB2">
      <w:rPr>
        <w:rFonts w:ascii="Aptos" w:eastAsia="DengXian Light" w:hAnsi="Aptos"/>
        <w:b/>
        <w:color w:val="2F5496" w:themeColor="accent1" w:themeShade="BF"/>
        <w:sz w:val="28"/>
        <w:szCs w:val="28"/>
      </w:rPr>
      <w:t>Central Community Unit School District 3</w:t>
    </w:r>
  </w:p>
  <w:p w14:paraId="4CD4925D" w14:textId="54121782"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3440CC">
      <w:rPr>
        <w:rFonts w:ascii="Aptos" w:eastAsia="DengXian Light" w:hAnsi="Aptos"/>
        <w:b/>
        <w:color w:val="2F5496" w:themeColor="accent1" w:themeShade="BF"/>
      </w:rPr>
      <w:t>136517</w:t>
    </w:r>
  </w:p>
  <w:p w14:paraId="50BDB0E6" w14:textId="77777777" w:rsidR="003440CC" w:rsidRPr="003440CC" w:rsidRDefault="003440CC" w:rsidP="003440CC">
    <w:pPr>
      <w:pStyle w:val="Header"/>
      <w:jc w:val="center"/>
      <w:rPr>
        <w:rFonts w:ascii="Aptos" w:eastAsia="DengXian Light" w:hAnsi="Aptos"/>
        <w:b/>
        <w:color w:val="2F5496" w:themeColor="accent1" w:themeShade="BF"/>
      </w:rPr>
    </w:pPr>
    <w:r w:rsidRPr="003440CC">
      <w:rPr>
        <w:rFonts w:ascii="Aptos" w:eastAsia="DengXian Light" w:hAnsi="Aptos"/>
        <w:b/>
        <w:color w:val="2F5496" w:themeColor="accent1" w:themeShade="BF"/>
      </w:rPr>
      <w:t>2110 Highway 94 N</w:t>
    </w:r>
  </w:p>
  <w:p w14:paraId="1C4973D5" w14:textId="18383D6D" w:rsidR="0036071A" w:rsidRPr="00FC1810" w:rsidRDefault="003440CC" w:rsidP="003440CC">
    <w:pPr>
      <w:pStyle w:val="Header"/>
      <w:jc w:val="center"/>
      <w:rPr>
        <w:rFonts w:ascii="Aptos" w:eastAsia="DengXian Light" w:hAnsi="Aptos"/>
        <w:b/>
      </w:rPr>
    </w:pPr>
    <w:r w:rsidRPr="003440CC">
      <w:rPr>
        <w:rFonts w:ascii="Aptos" w:eastAsia="DengXian Light" w:hAnsi="Aptos"/>
        <w:b/>
        <w:color w:val="2F5496" w:themeColor="accent1" w:themeShade="BF"/>
      </w:rPr>
      <w:t>Camp Point, IL 62320-9801</w:t>
    </w:r>
  </w:p>
  <w:p w14:paraId="6B2C45F3" w14:textId="3D026CF0" w:rsidR="0026390A" w:rsidRPr="00D41D0B" w:rsidRDefault="00000000" w:rsidP="0026390A">
    <w:pPr>
      <w:pStyle w:val="Header"/>
      <w:jc w:val="center"/>
      <w:rPr>
        <w:rFonts w:ascii="Aptos" w:eastAsia="DengXian Light" w:hAnsi="Aptos"/>
      </w:rPr>
    </w:pPr>
    <w:r>
      <w:rPr>
        <w:rFonts w:ascii="Aptos" w:eastAsia="DengXian Light" w:hAnsi="Aptos"/>
        <w:b/>
      </w:rPr>
      <w:pict w14:anchorId="273BD260">
        <v:rect id="_x0000_i1031"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15E6"/>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0D30"/>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40CC"/>
    <w:rsid w:val="003475F9"/>
    <w:rsid w:val="00351D9D"/>
    <w:rsid w:val="00353275"/>
    <w:rsid w:val="003548FA"/>
    <w:rsid w:val="00354D3C"/>
    <w:rsid w:val="003606CE"/>
    <w:rsid w:val="0036071A"/>
    <w:rsid w:val="003632CD"/>
    <w:rsid w:val="0036342B"/>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4E7"/>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2827"/>
    <w:rsid w:val="00534931"/>
    <w:rsid w:val="0053586A"/>
    <w:rsid w:val="0053668A"/>
    <w:rsid w:val="00540723"/>
    <w:rsid w:val="00540DD5"/>
    <w:rsid w:val="00543A49"/>
    <w:rsid w:val="005443B2"/>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B7142"/>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C7DB2"/>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76CB6"/>
    <w:rsid w:val="00781127"/>
    <w:rsid w:val="00781377"/>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E00AC"/>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0809"/>
    <w:rsid w:val="008C34EC"/>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860"/>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B7D7C"/>
    <w:rsid w:val="009C43AB"/>
    <w:rsid w:val="009C4F6C"/>
    <w:rsid w:val="009C63D2"/>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2BC5"/>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83180"/>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3FE1"/>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4354"/>
    <w:rsid w:val="00C15455"/>
    <w:rsid w:val="00C15E63"/>
    <w:rsid w:val="00C165BD"/>
    <w:rsid w:val="00C2047A"/>
    <w:rsid w:val="00C20A07"/>
    <w:rsid w:val="00C20C87"/>
    <w:rsid w:val="00C21782"/>
    <w:rsid w:val="00C21E2F"/>
    <w:rsid w:val="00C2672A"/>
    <w:rsid w:val="00C327ED"/>
    <w:rsid w:val="00C3299A"/>
    <w:rsid w:val="00C33D48"/>
    <w:rsid w:val="00C367CF"/>
    <w:rsid w:val="00C41DD1"/>
    <w:rsid w:val="00C47EA2"/>
    <w:rsid w:val="00C50082"/>
    <w:rsid w:val="00C51E69"/>
    <w:rsid w:val="00C52627"/>
    <w:rsid w:val="00C53586"/>
    <w:rsid w:val="00C54853"/>
    <w:rsid w:val="00C55B80"/>
    <w:rsid w:val="00C5721C"/>
    <w:rsid w:val="00C623A8"/>
    <w:rsid w:val="00C63580"/>
    <w:rsid w:val="00C63D40"/>
    <w:rsid w:val="00C65684"/>
    <w:rsid w:val="00C6654A"/>
    <w:rsid w:val="00C666D3"/>
    <w:rsid w:val="00C70FB4"/>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4DAC"/>
    <w:rsid w:val="00CE6F4A"/>
    <w:rsid w:val="00CE7E6B"/>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21F0"/>
    <w:rsid w:val="00E84C4E"/>
    <w:rsid w:val="00E873E5"/>
    <w:rsid w:val="00E8754A"/>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E6E1C"/>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2DF6"/>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57247"/>
    <w:rsid w:val="00F65092"/>
    <w:rsid w:val="00F65C45"/>
    <w:rsid w:val="00F66AAF"/>
    <w:rsid w:val="00F71C88"/>
    <w:rsid w:val="00F735D9"/>
    <w:rsid w:val="00F7390F"/>
    <w:rsid w:val="00F76C24"/>
    <w:rsid w:val="00F8153A"/>
    <w:rsid w:val="00F81D2F"/>
    <w:rsid w:val="00F82085"/>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Pages>5</Pages>
  <Words>1624</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10866</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89</cp:revision>
  <cp:lastPrinted>2021-10-12T01:18:00Z</cp:lastPrinted>
  <dcterms:created xsi:type="dcterms:W3CDTF">2026-08-20T17:19:00Z</dcterms:created>
  <dcterms:modified xsi:type="dcterms:W3CDTF">2026-09-25T20:43:00Z</dcterms:modified>
</cp:coreProperties>
</file>