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0BBBB" w14:textId="77777777" w:rsidR="00F0235E" w:rsidRDefault="00000000">
      <w:pPr>
        <w:spacing w:after="40"/>
        <w:jc w:val="center"/>
      </w:pPr>
      <w:r>
        <w:rPr>
          <w:noProof/>
        </w:rPr>
        <w:drawing>
          <wp:inline distT="0" distB="0" distL="0" distR="0" wp14:anchorId="72F27650" wp14:editId="5AB1C9BB">
            <wp:extent cx="1666875"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1666875" cy="1028700"/>
                    </a:xfrm>
                    <a:prstGeom prst="rect">
                      <a:avLst/>
                    </a:prstGeom>
                  </pic:spPr>
                </pic:pic>
              </a:graphicData>
            </a:graphic>
          </wp:inline>
        </w:drawing>
      </w:r>
    </w:p>
    <w:p w14:paraId="473EB107" w14:textId="77777777" w:rsidR="00F0235E" w:rsidRDefault="00000000">
      <w:pPr>
        <w:spacing w:after="20"/>
        <w:jc w:val="center"/>
      </w:pPr>
      <w:r>
        <w:rPr>
          <w:b/>
          <w:bCs/>
          <w:color w:val="1F3864"/>
          <w:sz w:val="30"/>
          <w:szCs w:val="30"/>
        </w:rPr>
        <w:t>Warren County Public Schools</w:t>
      </w:r>
    </w:p>
    <w:p w14:paraId="4B1A26F2" w14:textId="77777777" w:rsidR="00F0235E" w:rsidRDefault="00000000">
      <w:pPr>
        <w:spacing w:after="200"/>
        <w:jc w:val="center"/>
      </w:pPr>
      <w:r>
        <w:rPr>
          <w:color w:val="666666"/>
          <w:sz w:val="20"/>
          <w:szCs w:val="20"/>
        </w:rPr>
        <w:t>210 N. Commerce Avenue, Front Royal, VA 22630  |  P 540-635-2171</w:t>
      </w:r>
    </w:p>
    <w:p w14:paraId="4554DDBE" w14:textId="77777777" w:rsidR="00F0235E" w:rsidRDefault="00F0235E">
      <w:pPr>
        <w:pBdr>
          <w:bottom w:val="single" w:sz="12" w:space="0" w:color="2E5395"/>
        </w:pBdr>
        <w:spacing w:after="200"/>
      </w:pPr>
    </w:p>
    <w:p w14:paraId="63CB94F8" w14:textId="77777777" w:rsidR="00F0235E" w:rsidRDefault="00000000">
      <w:pPr>
        <w:spacing w:after="60"/>
        <w:jc w:val="center"/>
      </w:pPr>
      <w:r>
        <w:rPr>
          <w:b/>
          <w:bCs/>
          <w:color w:val="1F3864"/>
          <w:sz w:val="32"/>
          <w:szCs w:val="32"/>
        </w:rPr>
        <w:t>Request for Proposals</w:t>
      </w:r>
    </w:p>
    <w:p w14:paraId="141ECADC" w14:textId="77777777" w:rsidR="00F0235E" w:rsidRDefault="00000000">
      <w:pPr>
        <w:spacing w:after="200"/>
        <w:jc w:val="center"/>
      </w:pPr>
      <w:r>
        <w:rPr>
          <w:b/>
          <w:bCs/>
          <w:color w:val="2E5395"/>
          <w:sz w:val="26"/>
          <w:szCs w:val="26"/>
        </w:rPr>
        <w:t>Internet Access Service (Category 1)</w:t>
      </w:r>
    </w:p>
    <w:p w14:paraId="7C590873" w14:textId="77777777" w:rsidR="00F0235E" w:rsidRDefault="00000000">
      <w:pPr>
        <w:pStyle w:val="Heading1"/>
        <w:spacing w:before="320" w:after="140"/>
      </w:pPr>
      <w:r>
        <w:rPr>
          <w:b/>
          <w:bCs/>
          <w:color w:val="1F3864"/>
          <w:sz w:val="28"/>
          <w:szCs w:val="28"/>
        </w:rPr>
        <w:t>Timeline</w:t>
      </w:r>
    </w:p>
    <w:p w14:paraId="7EA61C42" w14:textId="77777777" w:rsidR="007E36A2" w:rsidRPr="007E36A2" w:rsidRDefault="00000000" w:rsidP="007E36A2">
      <w:pPr>
        <w:spacing w:after="120"/>
        <w:rPr>
          <w:b/>
          <w:bCs/>
        </w:rPr>
      </w:pPr>
      <w:r>
        <w:rPr>
          <w:b/>
          <w:bCs/>
        </w:rPr>
        <w:t>E-rate FCC Form 470 #270000122</w:t>
      </w:r>
    </w:p>
    <w:p w14:paraId="4597132D" w14:textId="77777777" w:rsidR="00F0235E" w:rsidRDefault="00000000">
      <w:pPr>
        <w:spacing w:after="120"/>
      </w:pPr>
      <w:r>
        <w:rPr>
          <w:b/>
          <w:bCs/>
        </w:rPr>
        <w:t>Funding Year 2027</w:t>
      </w:r>
    </w:p>
    <w:p w14:paraId="4FC78149" w14:textId="77777777" w:rsidR="00F0235E" w:rsidRDefault="00000000">
      <w:pPr>
        <w:pStyle w:val="ListParagraph"/>
        <w:numPr>
          <w:ilvl w:val="0"/>
          <w:numId w:val="2"/>
        </w:numPr>
        <w:spacing w:after="60" w:line="276" w:lineRule="auto"/>
      </w:pPr>
      <w:r>
        <w:t xml:space="preserve">Questions Due Date: </w:t>
      </w:r>
    </w:p>
    <w:p w14:paraId="33B7A27D" w14:textId="77777777" w:rsidR="00F0235E" w:rsidRPr="00B80529" w:rsidRDefault="00B80529">
      <w:pPr>
        <w:spacing w:after="60" w:line="276" w:lineRule="auto"/>
        <w:ind w:left="720"/>
        <w:rPr>
          <w:b/>
          <w:bCs/>
        </w:rPr>
      </w:pPr>
      <w:r>
        <w:rPr>
          <w:b/>
          <w:bCs/>
        </w:rPr>
        <w:t>September 14, 2026</w:t>
      </w:r>
    </w:p>
    <w:p w14:paraId="26E16E80" w14:textId="77777777" w:rsidR="00F0235E" w:rsidRDefault="00000000">
      <w:pPr>
        <w:pStyle w:val="ListParagraph"/>
        <w:numPr>
          <w:ilvl w:val="0"/>
          <w:numId w:val="2"/>
        </w:numPr>
        <w:spacing w:after="60" w:line="276" w:lineRule="auto"/>
      </w:pPr>
      <w:r>
        <w:t xml:space="preserve">Questions must be submitted to </w:t>
      </w:r>
      <w:hyperlink r:id="rId6" w:history="1">
        <w:r w:rsidR="00F0235E">
          <w:rPr>
            <w:rStyle w:val="Hyperlink"/>
          </w:rPr>
          <w:t>https://forms.gle/PArH4oAgfcsKS3Jt7</w:t>
        </w:r>
      </w:hyperlink>
      <w:r>
        <w:t xml:space="preserve">  Phone calls will not be accepted. Questions and answers will be posted in EPC as a Form 470 RFP document.</w:t>
      </w:r>
    </w:p>
    <w:p w14:paraId="3158FD37" w14:textId="77777777" w:rsidR="00F0235E" w:rsidRDefault="00000000">
      <w:pPr>
        <w:pStyle w:val="ListParagraph"/>
        <w:numPr>
          <w:ilvl w:val="0"/>
          <w:numId w:val="2"/>
        </w:numPr>
        <w:spacing w:after="60" w:line="276" w:lineRule="auto"/>
      </w:pPr>
      <w:r>
        <w:t xml:space="preserve">Proposal Due Date: </w:t>
      </w:r>
    </w:p>
    <w:p w14:paraId="3DF70338" w14:textId="77777777" w:rsidR="00F0235E" w:rsidRPr="00B80529" w:rsidRDefault="00B80529">
      <w:pPr>
        <w:spacing w:after="60" w:line="276" w:lineRule="auto"/>
        <w:ind w:left="720"/>
        <w:rPr>
          <w:b/>
          <w:bCs/>
        </w:rPr>
      </w:pPr>
      <w:r>
        <w:rPr>
          <w:b/>
          <w:bCs/>
        </w:rPr>
        <w:t>September 21, 2026 2:00 P.M. ET</w:t>
      </w:r>
    </w:p>
    <w:p w14:paraId="484345D3" w14:textId="77777777" w:rsidR="00F0235E" w:rsidRDefault="00000000">
      <w:pPr>
        <w:pStyle w:val="ListParagraph"/>
        <w:numPr>
          <w:ilvl w:val="0"/>
          <w:numId w:val="2"/>
        </w:numPr>
        <w:spacing w:after="60" w:line="276" w:lineRule="auto"/>
      </w:pPr>
      <w:r>
        <w:t>Proposals will not be accepted after this date.</w:t>
      </w:r>
      <w:r>
        <w:rPr>
          <w:b/>
          <w:bCs/>
        </w:rPr>
        <w:t xml:space="preserve"> Sealed responses,</w:t>
      </w:r>
      <w:r>
        <w:t xml:space="preserve"> together with a service contract ready for Warren County Public Schools to execute with the service site name and address included, should be mailed or delivered to:</w:t>
      </w:r>
    </w:p>
    <w:p w14:paraId="57DA7842" w14:textId="77777777" w:rsidR="00F0235E" w:rsidRDefault="00000000">
      <w:pPr>
        <w:spacing w:before="60" w:after="20"/>
        <w:ind w:left="1080"/>
      </w:pPr>
      <w:r>
        <w:t>Warren County Public Schools — Sealed Bid</w:t>
      </w:r>
    </w:p>
    <w:p w14:paraId="73445630" w14:textId="77777777" w:rsidR="00F0235E" w:rsidRPr="009266F0" w:rsidRDefault="00000000">
      <w:pPr>
        <w:spacing w:after="20"/>
        <w:ind w:left="1080"/>
      </w:pPr>
      <w:r>
        <w:t>ATTN: Douglas Stefnoski</w:t>
      </w:r>
    </w:p>
    <w:p w14:paraId="1FAB63F4" w14:textId="77777777" w:rsidR="00F0235E" w:rsidRPr="009266F0" w:rsidRDefault="00000000">
      <w:pPr>
        <w:spacing w:after="20"/>
        <w:ind w:left="1080"/>
      </w:pPr>
      <w:r>
        <w:t>210 N. Commerce Avenue</w:t>
      </w:r>
    </w:p>
    <w:p w14:paraId="0D264C81" w14:textId="77777777" w:rsidR="00F0235E" w:rsidRDefault="00000000">
      <w:pPr>
        <w:spacing w:after="20"/>
        <w:ind w:left="1080"/>
      </w:pPr>
      <w:r>
        <w:t>Front Royal, VA 22630</w:t>
      </w:r>
    </w:p>
    <w:p w14:paraId="1151A192" w14:textId="77777777" w:rsidR="00F0235E" w:rsidRDefault="00000000">
      <w:pPr>
        <w:pStyle w:val="ListParagraph"/>
        <w:numPr>
          <w:ilvl w:val="0"/>
          <w:numId w:val="2"/>
        </w:numPr>
        <w:spacing w:after="60" w:line="276" w:lineRule="auto"/>
      </w:pPr>
      <w:r>
        <w:t>Two paper copies and two USB flash drives with electronic copies are requested.</w:t>
      </w:r>
    </w:p>
    <w:p w14:paraId="03B01411" w14:textId="77777777" w:rsidR="00F0235E" w:rsidRDefault="00000000">
      <w:pPr>
        <w:pStyle w:val="ListParagraph"/>
        <w:numPr>
          <w:ilvl w:val="0"/>
          <w:numId w:val="2"/>
        </w:numPr>
        <w:spacing w:after="60" w:line="276" w:lineRule="auto"/>
      </w:pPr>
      <w:r>
        <w:t xml:space="preserve">An email should be sent to both </w:t>
      </w:r>
      <w:hyperlink r:id="rId7" w:history="1">
        <w:r w:rsidR="00F0235E">
          <w:rPr>
            <w:rStyle w:val="Hyperlink"/>
          </w:rPr>
          <w:t>dstefnoski@wcps.k12.va.us</w:t>
        </w:r>
      </w:hyperlink>
      <w:r>
        <w:t xml:space="preserve"> and </w:t>
      </w:r>
      <w:hyperlink r:id="rId8" w:history="1">
        <w:r w:rsidR="00F0235E">
          <w:rPr>
            <w:rStyle w:val="Hyperlink"/>
          </w:rPr>
          <w:t>erate@erateservices.com</w:t>
        </w:r>
      </w:hyperlink>
      <w:r>
        <w:t xml:space="preserve"> to confirm that a proposal has been mailed or delivered. Proposals should NOT be included in this email.</w:t>
      </w:r>
    </w:p>
    <w:p w14:paraId="14FE823B" w14:textId="77777777" w:rsidR="00F0235E" w:rsidRDefault="00000000">
      <w:pPr>
        <w:pStyle w:val="ListParagraph"/>
        <w:numPr>
          <w:ilvl w:val="0"/>
          <w:numId w:val="2"/>
        </w:numPr>
        <w:spacing w:after="120" w:line="276" w:lineRule="auto"/>
      </w:pPr>
      <w:r>
        <w:t>Announcement Date: January 12, 2027</w:t>
      </w:r>
    </w:p>
    <w:p w14:paraId="02D6D1CD" w14:textId="77777777" w:rsidR="00F0235E" w:rsidRDefault="00000000">
      <w:pPr>
        <w:pStyle w:val="Heading1"/>
        <w:spacing w:before="320" w:after="140"/>
      </w:pPr>
      <w:r>
        <w:rPr>
          <w:b/>
          <w:bCs/>
          <w:color w:val="1F3864"/>
          <w:sz w:val="28"/>
          <w:szCs w:val="28"/>
        </w:rPr>
        <w:t>Section 1: Overview</w:t>
      </w:r>
    </w:p>
    <w:p w14:paraId="063B5A14" w14:textId="77777777" w:rsidR="00F0235E" w:rsidRDefault="00000000">
      <w:pPr>
        <w:spacing w:after="120" w:line="276" w:lineRule="auto"/>
      </w:pPr>
      <w:r>
        <w:t>Warren County Public Schools (the “Applicant” or “District”) is requesting proposals for dedicated Internet access service delivered to a single hub location. Service is expected to terminate at the District’s designated hub location identified in Appendix A; the District will distribute Internet connectivity to its schools and facilities over its own wide area network. The new service is being planned to begin on July 1, 2027, which represents the expiration of the current Internet service.</w:t>
      </w:r>
    </w:p>
    <w:p w14:paraId="2DFB5203" w14:textId="77777777" w:rsidR="00F0235E" w:rsidRDefault="00000000">
      <w:pPr>
        <w:spacing w:after="100" w:line="276" w:lineRule="auto"/>
        <w:ind w:left="431" w:hanging="431"/>
      </w:pPr>
      <w:r>
        <w:lastRenderedPageBreak/>
        <w:t>1.</w:t>
      </w:r>
      <w:r>
        <w:tab/>
        <w:t>Both 3-year and 5-year contract options, each with voluntary one-year extensions, will be considered.</w:t>
      </w:r>
    </w:p>
    <w:p w14:paraId="1D861606" w14:textId="77777777" w:rsidR="00F0235E" w:rsidRDefault="00000000">
      <w:pPr>
        <w:spacing w:after="100" w:line="276" w:lineRule="auto"/>
        <w:ind w:left="863" w:hanging="431"/>
      </w:pPr>
      <w:r>
        <w:t>2.</w:t>
      </w:r>
      <w:r>
        <w:tab/>
        <w:t>Pricing is requested for 10 Gbps and 25 Gbps symmetrical Internet service. The District currently receives 10 Gbps of Internet service and is seeking pricing at its current level and at a higher tier to accommodate future growth.</w:t>
      </w:r>
    </w:p>
    <w:p w14:paraId="3C079FB6" w14:textId="77777777" w:rsidR="0085378F" w:rsidRDefault="00000000">
      <w:pPr>
        <w:spacing w:after="100" w:line="276" w:lineRule="auto"/>
        <w:ind w:left="431" w:hanging="431"/>
      </w:pPr>
      <w:r>
        <w:t>3.</w:t>
      </w:r>
      <w:r>
        <w:tab/>
        <w:t>Pricing must be submitted without upfront Special Construction charges. Any build-out costs must be absorbed by the provider or allocated over the life of the contract within the MRC. Special Construction proposals will not be accepted.</w:t>
      </w:r>
    </w:p>
    <w:p w14:paraId="0B86DBCE" w14:textId="77777777" w:rsidR="00F0235E" w:rsidRDefault="00000000">
      <w:pPr>
        <w:spacing w:after="100" w:line="276" w:lineRule="auto"/>
        <w:ind w:left="431" w:hanging="431"/>
      </w:pPr>
      <w:r>
        <w:t>4.</w:t>
      </w:r>
      <w:r>
        <w:tab/>
        <w:t>As with all E-rate FCC Form 470s and RFPs affiliated with a filed FCC Form 470, the Applicant will, at its sole discretion, decide whether a vendor/respondent award will result from this RFP. The issuance of an FCC Form 470 and this RFP do not obligate the District to make an award.</w:t>
      </w:r>
    </w:p>
    <w:p w14:paraId="4FAB1EFD" w14:textId="77777777" w:rsidR="00F0235E" w:rsidRDefault="00000000">
      <w:pPr>
        <w:spacing w:after="100" w:line="276" w:lineRule="auto"/>
        <w:ind w:left="863" w:hanging="431"/>
      </w:pPr>
      <w:r>
        <w:t>5.</w:t>
      </w:r>
      <w:r>
        <w:tab/>
        <w:t>Warren County Public Schools currently receives Internet service from Shentel (Shenandoah Cable Television, LLC).</w:t>
      </w:r>
    </w:p>
    <w:p w14:paraId="72D0AFBE" w14:textId="77777777" w:rsidR="00F0235E" w:rsidRDefault="00000000">
      <w:pPr>
        <w:pStyle w:val="Heading1"/>
        <w:spacing w:before="320" w:after="140"/>
      </w:pPr>
      <w:r>
        <w:rPr>
          <w:b/>
          <w:bCs/>
          <w:color w:val="1F3864"/>
          <w:sz w:val="28"/>
          <w:szCs w:val="28"/>
        </w:rPr>
        <w:t>Section 2: Service Requests</w:t>
      </w:r>
    </w:p>
    <w:p w14:paraId="4AF2F213" w14:textId="77777777" w:rsidR="00F0235E" w:rsidRDefault="00000000">
      <w:pPr>
        <w:spacing w:after="100" w:line="276" w:lineRule="auto"/>
        <w:ind w:left="431" w:hanging="431"/>
      </w:pPr>
      <w:r>
        <w:t>1.</w:t>
      </w:r>
      <w:r>
        <w:tab/>
        <w:t>The Applicant is seeking bids for a fully managed, dedicated Internet access solution delivered to the District’s hub location. See Section 3 for solution requirements.</w:t>
      </w:r>
    </w:p>
    <w:p w14:paraId="653DAC06" w14:textId="77777777" w:rsidR="00F0235E" w:rsidRDefault="00000000">
      <w:pPr>
        <w:spacing w:after="100" w:line="276" w:lineRule="auto"/>
        <w:ind w:left="431" w:hanging="431"/>
      </w:pPr>
      <w:r>
        <w:t>2.</w:t>
      </w:r>
      <w:r>
        <w:tab/>
        <w:t>Network Design and Routes</w:t>
      </w:r>
    </w:p>
    <w:p w14:paraId="09FD5C51" w14:textId="77777777" w:rsidR="00F0235E" w:rsidRDefault="00000000">
      <w:pPr>
        <w:spacing w:after="100" w:line="276" w:lineRule="auto"/>
        <w:ind w:left="936" w:hanging="431"/>
      </w:pPr>
      <w:r>
        <w:t>a.</w:t>
      </w:r>
      <w:r>
        <w:tab/>
        <w:t>The Applicant will consider traditional designs or alternative proposals. The Applicant’s stated decision criteria (outlined in Section 6) will be used to determine if an award is made as a result of this RFP. The Applicant has, in accordance with E-rate guidelines, rated cost of service as the highest-weighted factor in its decision criteria.</w:t>
      </w:r>
    </w:p>
    <w:p w14:paraId="57CB45BF" w14:textId="77777777" w:rsidR="00F0235E" w:rsidRDefault="00000000">
      <w:pPr>
        <w:spacing w:after="100" w:line="276" w:lineRule="auto"/>
        <w:ind w:left="936" w:hanging="431"/>
      </w:pPr>
      <w:r>
        <w:t>b.</w:t>
      </w:r>
      <w:r>
        <w:tab/>
        <w:t>Respondents should clearly illustrate the proposed service delivery and, where applicable, any routing through aggregation points or third-party facilities.</w:t>
      </w:r>
    </w:p>
    <w:p w14:paraId="2C3FA4AD" w14:textId="77777777" w:rsidR="00F0235E" w:rsidRDefault="00000000">
      <w:pPr>
        <w:spacing w:after="100" w:line="276" w:lineRule="auto"/>
        <w:ind w:left="936" w:hanging="431"/>
      </w:pPr>
      <w:r>
        <w:t>c.</w:t>
      </w:r>
      <w:r>
        <w:tab/>
        <w:t>The Applicant is not mandating any preconceived network design and leaves this decision to the vendor to present its best solution while recognizing the cited termination location(s).</w:t>
      </w:r>
    </w:p>
    <w:p w14:paraId="209D5718" w14:textId="77777777" w:rsidR="00F0235E" w:rsidRDefault="00000000">
      <w:pPr>
        <w:spacing w:after="100" w:line="276" w:lineRule="auto"/>
        <w:ind w:left="431" w:hanging="431"/>
      </w:pPr>
      <w:r>
        <w:t>3.</w:t>
      </w:r>
      <w:r>
        <w:tab/>
        <w:t>Special Construction</w:t>
      </w:r>
    </w:p>
    <w:p w14:paraId="4F22E9D1" w14:textId="77777777" w:rsidR="00F0235E" w:rsidRDefault="00000000">
      <w:pPr>
        <w:spacing w:after="100" w:line="276" w:lineRule="auto"/>
        <w:ind w:left="936" w:hanging="431"/>
      </w:pPr>
      <w:r>
        <w:t>a.</w:t>
      </w:r>
      <w:r>
        <w:tab/>
        <w:t>In E-rate terminology, special construction refers to the upfront, non-recurring costs associated with the installation of new fiber to or between eligible entities.</w:t>
      </w:r>
    </w:p>
    <w:p w14:paraId="0970D650" w14:textId="77777777" w:rsidR="00F0235E" w:rsidRDefault="00000000">
      <w:pPr>
        <w:spacing w:after="100" w:line="276" w:lineRule="auto"/>
        <w:ind w:left="936" w:hanging="431"/>
      </w:pPr>
      <w:r>
        <w:t>b.</w:t>
      </w:r>
      <w:r>
        <w:tab/>
        <w:t>Proposals must be submitted without one-time special construction costs. Any construction costs must be allocated over the life of the contract. Special Construction proposals will not be accepted.</w:t>
      </w:r>
    </w:p>
    <w:p w14:paraId="48DA774E" w14:textId="77777777" w:rsidR="00F0235E" w:rsidRDefault="00000000">
      <w:pPr>
        <w:pStyle w:val="Heading1"/>
        <w:spacing w:before="320" w:after="140"/>
      </w:pPr>
      <w:r>
        <w:rPr>
          <w:b/>
          <w:bCs/>
          <w:color w:val="1F3864"/>
          <w:sz w:val="28"/>
          <w:szCs w:val="28"/>
        </w:rPr>
        <w:t>Section 3: Solution Specifications</w:t>
      </w:r>
    </w:p>
    <w:p w14:paraId="001FC6AE" w14:textId="77777777" w:rsidR="00F0235E" w:rsidRDefault="00000000">
      <w:pPr>
        <w:pStyle w:val="Heading2"/>
        <w:spacing w:before="200" w:after="100"/>
      </w:pPr>
      <w:r>
        <w:rPr>
          <w:b/>
          <w:bCs/>
          <w:color w:val="2E5395"/>
          <w:sz w:val="24"/>
          <w:szCs w:val="24"/>
        </w:rPr>
        <w:t>1. Internet Access</w:t>
      </w:r>
    </w:p>
    <w:p w14:paraId="5E159E6E" w14:textId="77777777" w:rsidR="00F0235E" w:rsidRDefault="00000000">
      <w:pPr>
        <w:spacing w:after="100" w:line="276" w:lineRule="auto"/>
        <w:ind w:left="863" w:hanging="431"/>
      </w:pPr>
      <w:r>
        <w:t>a.</w:t>
      </w:r>
      <w:r>
        <w:tab/>
        <w:t>The ISP shall provide symmetrical, full-duplex dedicated Internet access over an industry-standard fiber interface to the District’s hub location. Pricing is requested at 10 Gbps and 25 Gbps. A minimum of 30 usable static public IPv4 addresses (a /27 subnet or larger) must be provided; any associated charges must be included in the MRC.</w:t>
      </w:r>
    </w:p>
    <w:p w14:paraId="7E6BDC04" w14:textId="77777777" w:rsidR="00F0235E" w:rsidRDefault="00000000">
      <w:pPr>
        <w:spacing w:after="100" w:line="276" w:lineRule="auto"/>
        <w:ind w:left="936" w:hanging="431"/>
      </w:pPr>
      <w:r>
        <w:t>b.</w:t>
      </w:r>
      <w:r>
        <w:tab/>
        <w:t>The solution must be scalable from 10 Gbps up to 25 Gbps without requiring a new contract.</w:t>
      </w:r>
    </w:p>
    <w:p w14:paraId="0AE48FED" w14:textId="77777777" w:rsidR="00F0235E" w:rsidRDefault="00000000">
      <w:pPr>
        <w:spacing w:after="100" w:line="276" w:lineRule="auto"/>
        <w:ind w:left="936" w:hanging="431"/>
      </w:pPr>
      <w:r>
        <w:t>c.</w:t>
      </w:r>
      <w:r>
        <w:tab/>
        <w:t>Contract options are requested for 36-month and 60-month terms of service, each with voluntary one-year extensions.</w:t>
      </w:r>
    </w:p>
    <w:p w14:paraId="7D721DFB" w14:textId="77777777" w:rsidR="00F0235E" w:rsidRDefault="00000000">
      <w:pPr>
        <w:spacing w:after="100" w:line="276" w:lineRule="auto"/>
        <w:ind w:left="936" w:hanging="431"/>
      </w:pPr>
      <w:r>
        <w:t>d.</w:t>
      </w:r>
      <w:r>
        <w:tab/>
        <w:t>Each respondent is required to complete the attached pricing worksheet (Appendix D). An unlocked Excel spreadsheet with pricing is required and may also be copied into the PDF response.</w:t>
      </w:r>
    </w:p>
    <w:p w14:paraId="1DF530CE" w14:textId="77777777" w:rsidR="00F0235E" w:rsidRDefault="00000000">
      <w:pPr>
        <w:spacing w:after="100" w:line="276" w:lineRule="auto"/>
        <w:ind w:left="1367" w:hanging="431"/>
      </w:pPr>
      <w:r>
        <w:t>i.</w:t>
      </w:r>
      <w:r>
        <w:tab/>
        <w:t xml:space="preserve">Monthly recurring cost, including taxes and fees (including current Universal Service Fees), and any additional non-recurring costs are </w:t>
      </w:r>
      <w:r>
        <w:rPr>
          <w:b/>
          <w:bCs/>
        </w:rPr>
        <w:t>required</w:t>
      </w:r>
      <w:r>
        <w:t xml:space="preserve"> to be broken out and listed separately.</w:t>
      </w:r>
    </w:p>
    <w:p w14:paraId="625E03CF" w14:textId="77777777" w:rsidR="00F0235E" w:rsidRDefault="00000000">
      <w:pPr>
        <w:spacing w:after="100" w:line="276" w:lineRule="auto"/>
        <w:ind w:left="1440" w:hanging="431"/>
      </w:pPr>
      <w:r>
        <w:t>ii.</w:t>
      </w:r>
      <w:r>
        <w:tab/>
        <w:t>Respondents are free to propose alternate pricing terms provided they have also included pricing in the requested format.</w:t>
      </w:r>
    </w:p>
    <w:p w14:paraId="4BC50626" w14:textId="77777777" w:rsidR="00F0235E" w:rsidRDefault="00000000">
      <w:pPr>
        <w:spacing w:after="100" w:line="276" w:lineRule="auto"/>
        <w:ind w:left="1440" w:hanging="431"/>
      </w:pPr>
      <w:r>
        <w:t>iii.</w:t>
      </w:r>
      <w:r>
        <w:tab/>
        <w:t>No increased pricing will be allowed during the term of the quoted NRC and MRC rate in each pricing cell of the matrix.</w:t>
      </w:r>
    </w:p>
    <w:p w14:paraId="6089B37F" w14:textId="77777777" w:rsidR="00F0235E" w:rsidRDefault="00000000">
      <w:pPr>
        <w:spacing w:after="100" w:line="276" w:lineRule="auto"/>
        <w:ind w:left="936" w:hanging="431"/>
      </w:pPr>
      <w:r>
        <w:t>e.</w:t>
      </w:r>
      <w:r>
        <w:tab/>
        <w:t>All costs, including applicable state and local taxes and federal fees, required to deliver the proposed solution must be included in the bid. If there are charges for static IP addresses, they must be included. By submitting a bid, the respondent certifies that it has engineered a full solution including all monthly recurring charges and all installation charges. Costs added to the quote after the respondent has submitted its bid are solely the responsibility of the respondent and not the Applicant.</w:t>
      </w:r>
    </w:p>
    <w:p w14:paraId="1DB80B38" w14:textId="77777777" w:rsidR="00F0235E" w:rsidRDefault="00000000">
      <w:pPr>
        <w:spacing w:after="100" w:line="276" w:lineRule="auto"/>
        <w:ind w:left="936" w:hanging="431"/>
      </w:pPr>
      <w:r>
        <w:t>f.</w:t>
      </w:r>
      <w:r>
        <w:tab/>
        <w:t>If a bandwidth upgrade is requested mid-contract, the term length does not reset or renew.</w:t>
      </w:r>
    </w:p>
    <w:p w14:paraId="38933564" w14:textId="77777777" w:rsidR="00F0235E" w:rsidRDefault="00000000">
      <w:pPr>
        <w:spacing w:after="100" w:line="276" w:lineRule="auto"/>
        <w:ind w:left="936" w:hanging="431"/>
      </w:pPr>
      <w:r>
        <w:t>g.</w:t>
      </w:r>
      <w:r>
        <w:tab/>
        <w:t>Disconnect or downgrade fees must be included in the proposal.</w:t>
      </w:r>
    </w:p>
    <w:p w14:paraId="02741333" w14:textId="77777777" w:rsidR="00F0235E" w:rsidRDefault="00000000">
      <w:pPr>
        <w:spacing w:after="100" w:line="276" w:lineRule="auto"/>
        <w:ind w:left="936" w:hanging="431"/>
      </w:pPr>
      <w:r>
        <w:t>h.</w:t>
      </w:r>
      <w:r>
        <w:tab/>
        <w:t>A single provider is required for all service. If subcontractors are utilized, the District requires a single point of contact from the awarded vendor. A list of subcontractors should be included in the proposal if applicable.</w:t>
      </w:r>
    </w:p>
    <w:p w14:paraId="3A114526" w14:textId="77777777" w:rsidR="00F0235E" w:rsidRDefault="00000000">
      <w:pPr>
        <w:spacing w:after="100" w:line="276" w:lineRule="auto"/>
        <w:ind w:left="936" w:hanging="431"/>
      </w:pPr>
      <w:r>
        <w:t>i.</w:t>
      </w:r>
      <w:r>
        <w:tab/>
        <w:t>All solutions must adhere to the Service Level Agreement (SLA) terms in Section 4.</w:t>
      </w:r>
    </w:p>
    <w:p w14:paraId="4396906F" w14:textId="77777777" w:rsidR="00F0235E" w:rsidRDefault="00000000">
      <w:pPr>
        <w:pStyle w:val="Heading1"/>
        <w:spacing w:before="320" w:after="140"/>
      </w:pPr>
      <w:r>
        <w:rPr>
          <w:b/>
          <w:bCs/>
          <w:color w:val="1F3864"/>
          <w:sz w:val="28"/>
          <w:szCs w:val="28"/>
        </w:rPr>
        <w:t>Section 4: Service Level Agreement</w:t>
      </w:r>
    </w:p>
    <w:p w14:paraId="022FC3B3" w14:textId="77777777" w:rsidR="00F0235E" w:rsidRDefault="00000000">
      <w:pPr>
        <w:spacing w:after="100" w:line="276" w:lineRule="auto"/>
        <w:ind w:left="431" w:hanging="431"/>
      </w:pPr>
      <w:r>
        <w:t>1.</w:t>
      </w:r>
      <w:r>
        <w:tab/>
        <w:t>Proposed services must meet the following specifications:</w:t>
      </w:r>
    </w:p>
    <w:p w14:paraId="7D73678A" w14:textId="77777777" w:rsidR="00F0235E" w:rsidRDefault="00000000">
      <w:pPr>
        <w:spacing w:after="100" w:line="276" w:lineRule="auto"/>
        <w:ind w:left="936" w:hanging="431"/>
      </w:pPr>
      <w:r>
        <w:t>a.</w:t>
      </w:r>
      <w:r>
        <w:tab/>
        <w:t>The provider guarantees 99.99% network availability, measured monthly, with service credits applied per the schedule below.</w:t>
      </w:r>
    </w:p>
    <w:p w14:paraId="4F581E35" w14:textId="77777777" w:rsidR="00F0235E" w:rsidRDefault="00000000">
      <w:pPr>
        <w:spacing w:after="100" w:line="276" w:lineRule="auto"/>
        <w:ind w:left="936" w:hanging="431"/>
      </w:pPr>
      <w:r>
        <w:t>b.</w:t>
      </w:r>
      <w:r>
        <w:tab/>
        <w:t>0.1% or lower average monthly frame/packet loss commitment.</w:t>
      </w:r>
    </w:p>
    <w:p w14:paraId="028BB897" w14:textId="77777777" w:rsidR="00F0235E" w:rsidRDefault="00000000">
      <w:pPr>
        <w:spacing w:after="100" w:line="276" w:lineRule="auto"/>
        <w:ind w:left="936" w:hanging="431"/>
      </w:pPr>
      <w:r>
        <w:t>c.</w:t>
      </w:r>
      <w:r>
        <w:tab/>
        <w:t>25 ms or lower round-trip network latency commitment, measured on-net within the provider’s regional network.</w:t>
      </w:r>
    </w:p>
    <w:p w14:paraId="45352A75" w14:textId="77777777" w:rsidR="00F0235E" w:rsidRDefault="00000000">
      <w:pPr>
        <w:spacing w:after="100" w:line="276" w:lineRule="auto"/>
        <w:ind w:left="936" w:hanging="431"/>
      </w:pPr>
      <w:r>
        <w:t>d.</w:t>
      </w:r>
      <w:r>
        <w:tab/>
        <w:t>2 ms or lower average network jitter commitment.</w:t>
      </w:r>
    </w:p>
    <w:p w14:paraId="23AAADCA" w14:textId="77777777" w:rsidR="00F0235E" w:rsidRDefault="00000000">
      <w:pPr>
        <w:spacing w:after="100" w:line="276" w:lineRule="auto"/>
        <w:ind w:left="936" w:hanging="431"/>
      </w:pPr>
      <w:r>
        <w:t>e.</w:t>
      </w:r>
      <w:r>
        <w:tab/>
        <w:t>There is no right of the provider to limit or throttle the capacity of the circuit at any time for any reason.</w:t>
      </w:r>
    </w:p>
    <w:p w14:paraId="65D9DC59" w14:textId="77777777" w:rsidR="00F0235E" w:rsidRDefault="00000000">
      <w:pPr>
        <w:spacing w:after="100" w:line="276" w:lineRule="auto"/>
        <w:ind w:left="936" w:hanging="431"/>
      </w:pPr>
      <w:r>
        <w:t>f.</w:t>
      </w:r>
      <w:r>
        <w:tab/>
        <w:t>The vendor’s stated commitment is to respond to any outage within two (2) hours and to restore service within four (4) hours.</w:t>
      </w:r>
    </w:p>
    <w:p w14:paraId="71E7247C" w14:textId="77777777" w:rsidR="00F0235E" w:rsidRDefault="00000000">
      <w:pPr>
        <w:spacing w:after="100" w:line="276" w:lineRule="auto"/>
        <w:ind w:left="936" w:hanging="431"/>
      </w:pPr>
      <w:r>
        <w:t>g.</w:t>
      </w:r>
      <w:r>
        <w:tab/>
        <w:t>The service must support IPv6, provided as dual-stack IPv4/IPv6, at no additional cost.</w:t>
      </w:r>
    </w:p>
    <w:p w14:paraId="4B6FA74D" w14:textId="77777777" w:rsidR="00F0235E" w:rsidRDefault="00000000">
      <w:pPr>
        <w:spacing w:after="100" w:line="276" w:lineRule="auto"/>
        <w:ind w:left="936" w:hanging="431"/>
      </w:pPr>
      <w:r>
        <w:t>h.</w:t>
      </w:r>
      <w:r>
        <w:tab/>
        <w:t>For the purpose of this SLA, “availability” means the circuit is passing traffic at its committed bandwidth rate; a circuit delivering materially less than the contracted rate will be treated as unavailable.</w:t>
      </w:r>
    </w:p>
    <w:p w14:paraId="1572115D" w14:textId="77777777" w:rsidR="00F0235E" w:rsidRDefault="00000000">
      <w:pPr>
        <w:spacing w:after="100" w:line="276" w:lineRule="auto"/>
        <w:ind w:left="431" w:hanging="431"/>
      </w:pPr>
      <w:r>
        <w:t>2.</w:t>
      </w:r>
      <w:r>
        <w:tab/>
        <w:t>Network Operations Center: The solution will provide customer support functions including problem tracking via a ticket portal, resolution, and escalation support management on a 24x7x365 basis.</w:t>
      </w:r>
    </w:p>
    <w:p w14:paraId="5410CED6" w14:textId="77777777" w:rsidR="00F0235E" w:rsidRDefault="00000000">
      <w:pPr>
        <w:spacing w:after="100" w:line="276" w:lineRule="auto"/>
        <w:ind w:left="431" w:hanging="431"/>
      </w:pPr>
      <w:r>
        <w:t>3.</w:t>
      </w:r>
      <w:r>
        <w:tab/>
        <w:t>Trouble reporting and response: Upon interruption, degradation, or loss of service, the Customer may contact the Vendor by a defined method with a response based on trouble level. The Vendor support team will initiate an immediate response to resolve any Customer issue. The Vendor will proactively monitor the service on a 24x7x365 basis and will notify the Customer within thirty (30) minutes of detecting a service-affecting outage.</w:t>
      </w:r>
    </w:p>
    <w:p w14:paraId="23DBCE79" w14:textId="77777777" w:rsidR="00F0235E" w:rsidRDefault="00000000">
      <w:pPr>
        <w:spacing w:after="120" w:line="276" w:lineRule="auto"/>
      </w:pPr>
      <w:r>
        <w:t>Service outage credits will be applied as follows: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60"/>
        <w:gridCol w:w="3900"/>
      </w:tblGrid>
      <w:tr w:rsidR="00F0235E" w14:paraId="79C94E62" w14:textId="77777777">
        <w:trPr>
          <w:tblHeader/>
        </w:trPr>
        <w:tc>
          <w:tcPr>
            <w:tcW w:w="5460" w:type="dxa"/>
            <w:shd w:val="clear" w:color="auto" w:fill="1F3864"/>
            <w:tcMar>
              <w:top w:w="60" w:type="dxa"/>
              <w:left w:w="90" w:type="dxa"/>
              <w:bottom w:w="60" w:type="dxa"/>
              <w:right w:w="90" w:type="dxa"/>
            </w:tcMar>
          </w:tcPr>
          <w:p w14:paraId="428CAC8F" w14:textId="77777777" w:rsidR="00F0235E" w:rsidRDefault="00000000">
            <w:r>
              <w:rPr>
                <w:b/>
                <w:bCs/>
                <w:color w:val="FFFFFF"/>
                <w:sz w:val="20"/>
                <w:szCs w:val="20"/>
              </w:rPr>
              <w:t>Length of Service Outage Per Circuit</w:t>
            </w:r>
          </w:p>
        </w:tc>
        <w:tc>
          <w:tcPr>
            <w:tcW w:w="3900" w:type="dxa"/>
            <w:shd w:val="clear" w:color="auto" w:fill="1F3864"/>
            <w:tcMar>
              <w:top w:w="60" w:type="dxa"/>
              <w:left w:w="90" w:type="dxa"/>
              <w:bottom w:w="60" w:type="dxa"/>
              <w:right w:w="90" w:type="dxa"/>
            </w:tcMar>
          </w:tcPr>
          <w:p w14:paraId="29C4B10F" w14:textId="77777777" w:rsidR="00F0235E" w:rsidRDefault="00000000">
            <w:r>
              <w:rPr>
                <w:b/>
                <w:bCs/>
                <w:color w:val="FFFFFF"/>
                <w:sz w:val="20"/>
                <w:szCs w:val="20"/>
              </w:rPr>
              <w:t>Credit (% of monthly recurring cost)</w:t>
            </w:r>
          </w:p>
        </w:tc>
      </w:tr>
      <w:tr w:rsidR="00F0235E" w14:paraId="39EEFA3C" w14:textId="77777777">
        <w:tc>
          <w:tcPr>
            <w:tcW w:w="5460" w:type="dxa"/>
            <w:shd w:val="clear" w:color="auto" w:fill="FFFFFF"/>
            <w:tcMar>
              <w:top w:w="60" w:type="dxa"/>
              <w:left w:w="90" w:type="dxa"/>
              <w:bottom w:w="60" w:type="dxa"/>
              <w:right w:w="90" w:type="dxa"/>
            </w:tcMar>
          </w:tcPr>
          <w:p w14:paraId="3AD0FFCF" w14:textId="77777777" w:rsidR="00F0235E" w:rsidRDefault="00000000">
            <w:r>
              <w:rPr>
                <w:color w:val="000000"/>
                <w:sz w:val="20"/>
                <w:szCs w:val="20"/>
              </w:rPr>
              <w:t>Less than 2 hours</w:t>
            </w:r>
          </w:p>
        </w:tc>
        <w:tc>
          <w:tcPr>
            <w:tcW w:w="3900" w:type="dxa"/>
            <w:shd w:val="clear" w:color="auto" w:fill="FFFFFF"/>
            <w:tcMar>
              <w:top w:w="60" w:type="dxa"/>
              <w:left w:w="90" w:type="dxa"/>
              <w:bottom w:w="60" w:type="dxa"/>
              <w:right w:w="90" w:type="dxa"/>
            </w:tcMar>
          </w:tcPr>
          <w:p w14:paraId="7EF28BED" w14:textId="77777777" w:rsidR="00F0235E" w:rsidRDefault="00000000">
            <w:r>
              <w:rPr>
                <w:color w:val="000000"/>
                <w:sz w:val="20"/>
                <w:szCs w:val="20"/>
              </w:rPr>
              <w:t>No Credit</w:t>
            </w:r>
          </w:p>
        </w:tc>
      </w:tr>
      <w:tr w:rsidR="00F0235E" w14:paraId="545E5F5A" w14:textId="77777777">
        <w:tc>
          <w:tcPr>
            <w:tcW w:w="5460" w:type="dxa"/>
            <w:shd w:val="clear" w:color="auto" w:fill="F2F6FB"/>
            <w:tcMar>
              <w:top w:w="60" w:type="dxa"/>
              <w:left w:w="90" w:type="dxa"/>
              <w:bottom w:w="60" w:type="dxa"/>
              <w:right w:w="90" w:type="dxa"/>
            </w:tcMar>
          </w:tcPr>
          <w:p w14:paraId="2002A272" w14:textId="77777777" w:rsidR="00F0235E" w:rsidRDefault="00000000">
            <w:r>
              <w:rPr>
                <w:color w:val="000000"/>
                <w:sz w:val="20"/>
                <w:szCs w:val="20"/>
              </w:rPr>
              <w:t>Greater than 2 hours and less than 4 hours</w:t>
            </w:r>
          </w:p>
        </w:tc>
        <w:tc>
          <w:tcPr>
            <w:tcW w:w="3900" w:type="dxa"/>
            <w:shd w:val="clear" w:color="auto" w:fill="F2F6FB"/>
            <w:tcMar>
              <w:top w:w="60" w:type="dxa"/>
              <w:left w:w="90" w:type="dxa"/>
              <w:bottom w:w="60" w:type="dxa"/>
              <w:right w:w="90" w:type="dxa"/>
            </w:tcMar>
          </w:tcPr>
          <w:p w14:paraId="201EB04E" w14:textId="77777777" w:rsidR="00F0235E" w:rsidRDefault="00000000">
            <w:r>
              <w:rPr>
                <w:color w:val="000000"/>
                <w:sz w:val="20"/>
                <w:szCs w:val="20"/>
              </w:rPr>
              <w:t>5%</w:t>
            </w:r>
          </w:p>
        </w:tc>
      </w:tr>
      <w:tr w:rsidR="00F0235E" w14:paraId="7DD79DE3" w14:textId="77777777">
        <w:tc>
          <w:tcPr>
            <w:tcW w:w="5460" w:type="dxa"/>
            <w:shd w:val="clear" w:color="auto" w:fill="FFFFFF"/>
            <w:tcMar>
              <w:top w:w="60" w:type="dxa"/>
              <w:left w:w="90" w:type="dxa"/>
              <w:bottom w:w="60" w:type="dxa"/>
              <w:right w:w="90" w:type="dxa"/>
            </w:tcMar>
          </w:tcPr>
          <w:p w14:paraId="437CD051" w14:textId="77777777" w:rsidR="00F0235E" w:rsidRDefault="00000000">
            <w:r>
              <w:rPr>
                <w:color w:val="000000"/>
                <w:sz w:val="20"/>
                <w:szCs w:val="20"/>
              </w:rPr>
              <w:t>Greater than 4 hours and less than 8 hours</w:t>
            </w:r>
          </w:p>
        </w:tc>
        <w:tc>
          <w:tcPr>
            <w:tcW w:w="3900" w:type="dxa"/>
            <w:shd w:val="clear" w:color="auto" w:fill="FFFFFF"/>
            <w:tcMar>
              <w:top w:w="60" w:type="dxa"/>
              <w:left w:w="90" w:type="dxa"/>
              <w:bottom w:w="60" w:type="dxa"/>
              <w:right w:w="90" w:type="dxa"/>
            </w:tcMar>
          </w:tcPr>
          <w:p w14:paraId="26509E5A" w14:textId="77777777" w:rsidR="00F0235E" w:rsidRDefault="00000000">
            <w:r>
              <w:rPr>
                <w:color w:val="000000"/>
                <w:sz w:val="20"/>
                <w:szCs w:val="20"/>
              </w:rPr>
              <w:t>10%</w:t>
            </w:r>
          </w:p>
        </w:tc>
      </w:tr>
      <w:tr w:rsidR="00F0235E" w14:paraId="62B0AF37" w14:textId="77777777">
        <w:tc>
          <w:tcPr>
            <w:tcW w:w="5460" w:type="dxa"/>
            <w:shd w:val="clear" w:color="auto" w:fill="F2F6FB"/>
            <w:tcMar>
              <w:top w:w="60" w:type="dxa"/>
              <w:left w:w="90" w:type="dxa"/>
              <w:bottom w:w="60" w:type="dxa"/>
              <w:right w:w="90" w:type="dxa"/>
            </w:tcMar>
          </w:tcPr>
          <w:p w14:paraId="53D0FA56" w14:textId="77777777" w:rsidR="00F0235E" w:rsidRDefault="00000000">
            <w:r>
              <w:rPr>
                <w:color w:val="000000"/>
                <w:sz w:val="20"/>
                <w:szCs w:val="20"/>
              </w:rPr>
              <w:t>Greater than 8 hours and less than 12 hours</w:t>
            </w:r>
          </w:p>
        </w:tc>
        <w:tc>
          <w:tcPr>
            <w:tcW w:w="3900" w:type="dxa"/>
            <w:shd w:val="clear" w:color="auto" w:fill="F2F6FB"/>
            <w:tcMar>
              <w:top w:w="60" w:type="dxa"/>
              <w:left w:w="90" w:type="dxa"/>
              <w:bottom w:w="60" w:type="dxa"/>
              <w:right w:w="90" w:type="dxa"/>
            </w:tcMar>
          </w:tcPr>
          <w:p w14:paraId="13208C3D" w14:textId="77777777" w:rsidR="00F0235E" w:rsidRDefault="00000000">
            <w:r>
              <w:rPr>
                <w:color w:val="000000"/>
                <w:sz w:val="20"/>
                <w:szCs w:val="20"/>
              </w:rPr>
              <w:t>15%</w:t>
            </w:r>
          </w:p>
        </w:tc>
      </w:tr>
      <w:tr w:rsidR="00F0235E" w14:paraId="40BA99D2" w14:textId="77777777">
        <w:tc>
          <w:tcPr>
            <w:tcW w:w="5460" w:type="dxa"/>
            <w:shd w:val="clear" w:color="auto" w:fill="FFFFFF"/>
            <w:tcMar>
              <w:top w:w="60" w:type="dxa"/>
              <w:left w:w="90" w:type="dxa"/>
              <w:bottom w:w="60" w:type="dxa"/>
              <w:right w:w="90" w:type="dxa"/>
            </w:tcMar>
          </w:tcPr>
          <w:p w14:paraId="2F3EAD85" w14:textId="77777777" w:rsidR="00F0235E" w:rsidRDefault="00000000">
            <w:r>
              <w:rPr>
                <w:color w:val="000000"/>
                <w:sz w:val="20"/>
                <w:szCs w:val="20"/>
              </w:rPr>
              <w:t>Greater than 12 hours and less than 16 hours</w:t>
            </w:r>
          </w:p>
        </w:tc>
        <w:tc>
          <w:tcPr>
            <w:tcW w:w="3900" w:type="dxa"/>
            <w:shd w:val="clear" w:color="auto" w:fill="FFFFFF"/>
            <w:tcMar>
              <w:top w:w="60" w:type="dxa"/>
              <w:left w:w="90" w:type="dxa"/>
              <w:bottom w:w="60" w:type="dxa"/>
              <w:right w:w="90" w:type="dxa"/>
            </w:tcMar>
          </w:tcPr>
          <w:p w14:paraId="1293874F" w14:textId="77777777" w:rsidR="00F0235E" w:rsidRDefault="00000000">
            <w:r>
              <w:rPr>
                <w:color w:val="000000"/>
                <w:sz w:val="20"/>
                <w:szCs w:val="20"/>
              </w:rPr>
              <w:t>20%</w:t>
            </w:r>
          </w:p>
        </w:tc>
      </w:tr>
      <w:tr w:rsidR="00F0235E" w14:paraId="3AEFBA0D" w14:textId="77777777">
        <w:tc>
          <w:tcPr>
            <w:tcW w:w="5460" w:type="dxa"/>
            <w:shd w:val="clear" w:color="auto" w:fill="F2F6FB"/>
            <w:tcMar>
              <w:top w:w="60" w:type="dxa"/>
              <w:left w:w="90" w:type="dxa"/>
              <w:bottom w:w="60" w:type="dxa"/>
              <w:right w:w="90" w:type="dxa"/>
            </w:tcMar>
          </w:tcPr>
          <w:p w14:paraId="51ABE900" w14:textId="77777777" w:rsidR="00F0235E" w:rsidRDefault="00000000">
            <w:r>
              <w:rPr>
                <w:color w:val="000000"/>
                <w:sz w:val="20"/>
                <w:szCs w:val="20"/>
              </w:rPr>
              <w:t>Greater than 16 hours and less than 24 hours</w:t>
            </w:r>
          </w:p>
        </w:tc>
        <w:tc>
          <w:tcPr>
            <w:tcW w:w="3900" w:type="dxa"/>
            <w:shd w:val="clear" w:color="auto" w:fill="F2F6FB"/>
            <w:tcMar>
              <w:top w:w="60" w:type="dxa"/>
              <w:left w:w="90" w:type="dxa"/>
              <w:bottom w:w="60" w:type="dxa"/>
              <w:right w:w="90" w:type="dxa"/>
            </w:tcMar>
          </w:tcPr>
          <w:p w14:paraId="4B168B6D" w14:textId="77777777" w:rsidR="00F0235E" w:rsidRDefault="00000000">
            <w:r>
              <w:rPr>
                <w:color w:val="000000"/>
                <w:sz w:val="20"/>
                <w:szCs w:val="20"/>
              </w:rPr>
              <w:t>35%</w:t>
            </w:r>
          </w:p>
        </w:tc>
      </w:tr>
      <w:tr w:rsidR="00F0235E" w14:paraId="42A7B337" w14:textId="77777777">
        <w:tc>
          <w:tcPr>
            <w:tcW w:w="5460" w:type="dxa"/>
            <w:shd w:val="clear" w:color="auto" w:fill="FFFFFF"/>
            <w:tcMar>
              <w:top w:w="60" w:type="dxa"/>
              <w:left w:w="90" w:type="dxa"/>
              <w:bottom w:w="60" w:type="dxa"/>
              <w:right w:w="90" w:type="dxa"/>
            </w:tcMar>
          </w:tcPr>
          <w:p w14:paraId="19C15C51" w14:textId="77777777" w:rsidR="00F0235E" w:rsidRDefault="00000000">
            <w:r>
              <w:rPr>
                <w:color w:val="000000"/>
                <w:sz w:val="20"/>
                <w:szCs w:val="20"/>
              </w:rPr>
              <w:t>Greater than 24 hours</w:t>
            </w:r>
          </w:p>
        </w:tc>
        <w:tc>
          <w:tcPr>
            <w:tcW w:w="3900" w:type="dxa"/>
            <w:shd w:val="clear" w:color="auto" w:fill="FFFFFF"/>
            <w:tcMar>
              <w:top w:w="60" w:type="dxa"/>
              <w:left w:w="90" w:type="dxa"/>
              <w:bottom w:w="60" w:type="dxa"/>
              <w:right w:w="90" w:type="dxa"/>
            </w:tcMar>
          </w:tcPr>
          <w:p w14:paraId="29FF4FDE" w14:textId="77777777" w:rsidR="00F0235E" w:rsidRDefault="00000000">
            <w:r>
              <w:rPr>
                <w:color w:val="000000"/>
                <w:sz w:val="20"/>
                <w:szCs w:val="20"/>
              </w:rPr>
              <w:t>50%</w:t>
            </w:r>
          </w:p>
        </w:tc>
      </w:tr>
    </w:tbl>
    <w:p w14:paraId="36932E55" w14:textId="77777777" w:rsidR="00F0235E" w:rsidRDefault="00F0235E">
      <w:pPr>
        <w:spacing w:after="80"/>
      </w:pPr>
    </w:p>
    <w:p w14:paraId="47653531" w14:textId="77777777" w:rsidR="00F0235E" w:rsidRDefault="00000000">
      <w:pPr>
        <w:spacing w:after="100" w:line="276" w:lineRule="auto"/>
        <w:ind w:left="431" w:hanging="431"/>
      </w:pPr>
      <w:r>
        <w:t>4.</w:t>
      </w:r>
      <w:r>
        <w:tab/>
        <w:t>Escalation: If service has not been restored within two (2) hours, or the Customer does not feel adequate attention has been allocated, the Customer may escalate the trouble resolution by request. A list of escalation contacts will be provided when the implementation schedule is completed.</w:t>
      </w:r>
    </w:p>
    <w:p w14:paraId="10B66921" w14:textId="77777777" w:rsidR="00F0235E" w:rsidRDefault="00000000">
      <w:pPr>
        <w:spacing w:after="100" w:line="276" w:lineRule="auto"/>
        <w:ind w:left="431" w:hanging="431"/>
      </w:pPr>
      <w:r>
        <w:t>5.</w:t>
      </w:r>
      <w:r>
        <w:tab/>
        <w:t>Resolution: The Customer will be notified immediately once the problem is resolved and will be asked for verbal closure of the incident.</w:t>
      </w:r>
    </w:p>
    <w:p w14:paraId="40EBBFAD" w14:textId="77777777" w:rsidR="00F0235E" w:rsidRDefault="00000000">
      <w:pPr>
        <w:spacing w:after="100" w:line="276" w:lineRule="auto"/>
        <w:ind w:left="431" w:hanging="431"/>
      </w:pPr>
      <w:r>
        <w:t>6.</w:t>
      </w:r>
      <w:r>
        <w:tab/>
        <w:t>Measurement: For outage-duration and credit calculations, time starts at the earlier of (a) the Vendor’s detection of the outage through its monitoring, or (b) the time the Customer contacts the Vendor and identifies the problem.</w:t>
      </w:r>
    </w:p>
    <w:p w14:paraId="2F251B87" w14:textId="77777777" w:rsidR="00F0235E" w:rsidRDefault="00000000">
      <w:pPr>
        <w:spacing w:after="100" w:line="276" w:lineRule="auto"/>
        <w:ind w:left="431" w:hanging="431"/>
      </w:pPr>
      <w:r>
        <w:t>7.</w:t>
      </w:r>
      <w:r>
        <w:tab/>
        <w:t>Reports: Upon request, an incident report will be made available to the Customer within five (5) working days of resolution of the trouble.</w:t>
      </w:r>
    </w:p>
    <w:p w14:paraId="3D9DCF0D" w14:textId="77777777" w:rsidR="00F0235E" w:rsidRDefault="00000000">
      <w:pPr>
        <w:spacing w:after="100" w:line="276" w:lineRule="auto"/>
        <w:ind w:left="431" w:hanging="431"/>
      </w:pPr>
      <w:r>
        <w:t>8.</w:t>
      </w:r>
      <w:r>
        <w:tab/>
        <w:t>Historical uptime: Provide aggregate uptime statistics for your proposed service in the geographic area encompassing the Applicant.</w:t>
      </w:r>
    </w:p>
    <w:p w14:paraId="6A1D0AB9" w14:textId="77777777" w:rsidR="00F0235E" w:rsidRDefault="00000000">
      <w:pPr>
        <w:spacing w:after="100" w:line="276" w:lineRule="auto"/>
        <w:ind w:left="431" w:hanging="431"/>
      </w:pPr>
      <w:r>
        <w:t>9.</w:t>
      </w:r>
      <w:r>
        <w:tab/>
        <w:t>Performance Reporting: Upon request, the Vendor will make availability, latency, jitter, and packet-loss measurements available to the Customer through an online portal or a periodic report.</w:t>
      </w:r>
    </w:p>
    <w:p w14:paraId="773155B6" w14:textId="77777777" w:rsidR="00F0235E" w:rsidRDefault="00000000">
      <w:pPr>
        <w:spacing w:after="100" w:line="276" w:lineRule="auto"/>
        <w:ind w:left="431" w:hanging="431"/>
      </w:pPr>
      <w:r>
        <w:t>10.</w:t>
      </w:r>
      <w:r>
        <w:tab/>
        <w:t>Chronic Trouble: If the service experiences three (3) or more separate service-affecting outages in any single month, or the Vendor repeatedly fails to meet the committed time to restore, the Customer may terminate the affected service without penalty or early-termination charge upon written notice.</w:t>
      </w:r>
    </w:p>
    <w:p w14:paraId="3AB226A5" w14:textId="77777777" w:rsidR="00F0235E" w:rsidRDefault="00000000">
      <w:pPr>
        <w:pStyle w:val="Heading1"/>
        <w:spacing w:before="320" w:after="140"/>
      </w:pPr>
      <w:r>
        <w:rPr>
          <w:b/>
          <w:bCs/>
          <w:color w:val="1F3864"/>
          <w:sz w:val="28"/>
          <w:szCs w:val="28"/>
        </w:rPr>
        <w:t>Section 5: General Terms for All Proposals</w:t>
      </w:r>
    </w:p>
    <w:p w14:paraId="5F8167C6" w14:textId="77777777" w:rsidR="00F0235E" w:rsidRDefault="00000000">
      <w:pPr>
        <w:spacing w:after="120" w:line="276" w:lineRule="auto"/>
      </w:pPr>
      <w:r>
        <w:rPr>
          <w:b/>
          <w:bCs/>
        </w:rPr>
        <w:t>Warren County Public Schools reserves the right to disqualify any proposal that significantly deviates from submitting the requested information. Proposals that consist of a catalog of services will be disqualified.</w:t>
      </w:r>
    </w:p>
    <w:p w14:paraId="0276FCFC" w14:textId="77777777" w:rsidR="00F0235E" w:rsidRDefault="00000000">
      <w:pPr>
        <w:spacing w:after="100" w:line="276" w:lineRule="auto"/>
        <w:ind w:left="431" w:hanging="431"/>
      </w:pPr>
      <w:r>
        <w:t>1.</w:t>
      </w:r>
      <w:r>
        <w:tab/>
        <w:t>Description of Proposal</w:t>
      </w:r>
    </w:p>
    <w:p w14:paraId="29D41229" w14:textId="77777777" w:rsidR="00F0235E" w:rsidRDefault="00000000">
      <w:pPr>
        <w:spacing w:after="100" w:line="276" w:lineRule="auto"/>
        <w:ind w:left="936" w:hanging="431"/>
      </w:pPr>
      <w:r>
        <w:t>a.</w:t>
      </w:r>
      <w:r>
        <w:tab/>
        <w:t>The service and demarcation location must be included in the bid. Failure to include the service address could be considered grounds for disqualification.</w:t>
      </w:r>
    </w:p>
    <w:p w14:paraId="47C974BB" w14:textId="77777777" w:rsidR="00F0235E" w:rsidRDefault="00000000">
      <w:pPr>
        <w:spacing w:after="100" w:line="276" w:lineRule="auto"/>
        <w:ind w:left="936" w:hanging="431"/>
      </w:pPr>
      <w:r>
        <w:t>b.</w:t>
      </w:r>
      <w:r>
        <w:tab/>
        <w:t>The respondent will provide a description of its proposal for all services and solutions, including an overview, any deviations from the requested design or requirements, assumptions made, and other detail the Applicant may find useful.</w:t>
      </w:r>
    </w:p>
    <w:p w14:paraId="168FFF81" w14:textId="77777777" w:rsidR="00F0235E" w:rsidRDefault="00000000" w:rsidP="007E36A2">
      <w:pPr>
        <w:spacing w:after="100" w:line="276" w:lineRule="auto"/>
        <w:ind w:left="936" w:hanging="431"/>
      </w:pPr>
      <w:r>
        <w:t>c.</w:t>
      </w:r>
      <w:r>
        <w:tab/>
        <w:t>The Service Provider must have a USAC 498 ID (SPIN) that is shown on the proposal.</w:t>
      </w:r>
    </w:p>
    <w:p w14:paraId="2D49BBF9" w14:textId="77777777" w:rsidR="00F0235E" w:rsidRDefault="00000000">
      <w:pPr>
        <w:spacing w:after="100" w:line="276" w:lineRule="auto"/>
        <w:ind w:left="431" w:hanging="431"/>
      </w:pPr>
      <w:r>
        <w:t>2.</w:t>
      </w:r>
      <w:r>
        <w:tab/>
        <w:t>Reselling and Subcontracting</w:t>
      </w:r>
    </w:p>
    <w:p w14:paraId="00BD1D92" w14:textId="77777777" w:rsidR="00F0235E" w:rsidRDefault="00000000">
      <w:pPr>
        <w:spacing w:after="100" w:line="276" w:lineRule="auto"/>
        <w:ind w:left="936" w:hanging="431"/>
      </w:pPr>
      <w:r>
        <w:t>a.</w:t>
      </w:r>
      <w:r>
        <w:tab/>
        <w:t>Any respondent who intends to resell or subcontract a lit service from a third party must supply proof in writing that said party can provide service at the proposed service location.</w:t>
      </w:r>
    </w:p>
    <w:p w14:paraId="722422E8" w14:textId="77777777" w:rsidR="00F0235E" w:rsidRDefault="00000000">
      <w:pPr>
        <w:spacing w:after="100" w:line="276" w:lineRule="auto"/>
        <w:ind w:left="936" w:hanging="431"/>
      </w:pPr>
      <w:r>
        <w:t>b.</w:t>
      </w:r>
      <w:r>
        <w:tab/>
        <w:t>If, at any point following bid submission, any change from the third party alters the costs or significantly changes the scope of the proposed service, the Applicant will not be liable for the cost increase and reserves the right to disqualify the bid and cancel any signed contracts without penalty.</w:t>
      </w:r>
    </w:p>
    <w:p w14:paraId="6F5C1950" w14:textId="77777777" w:rsidR="00F0235E" w:rsidRDefault="00000000">
      <w:pPr>
        <w:spacing w:after="100" w:line="276" w:lineRule="auto"/>
        <w:ind w:left="431" w:hanging="431"/>
      </w:pPr>
      <w:r>
        <w:t>3.</w:t>
      </w:r>
      <w:r>
        <w:tab/>
        <w:t>Timeline</w:t>
      </w:r>
    </w:p>
    <w:p w14:paraId="3B44012F" w14:textId="77777777" w:rsidR="00F0235E" w:rsidRDefault="00000000">
      <w:pPr>
        <w:spacing w:after="100" w:line="276" w:lineRule="auto"/>
        <w:ind w:left="936" w:hanging="431"/>
      </w:pPr>
      <w:r>
        <w:t>a.</w:t>
      </w:r>
      <w:r>
        <w:tab/>
        <w:t>For each response, respondents must include a timeline for bringing the service online.</w:t>
      </w:r>
    </w:p>
    <w:p w14:paraId="3AEE29F0" w14:textId="77777777" w:rsidR="00F0235E" w:rsidRDefault="00000000">
      <w:pPr>
        <w:spacing w:after="100" w:line="276" w:lineRule="auto"/>
        <w:ind w:left="936" w:hanging="431"/>
      </w:pPr>
      <w:r>
        <w:t>b.</w:t>
      </w:r>
      <w:r>
        <w:tab/>
        <w:t>Proposals requiring little to no construction should be able to bring the service online by the July 1 start of the funding year.</w:t>
      </w:r>
    </w:p>
    <w:p w14:paraId="5DCBA910" w14:textId="77777777" w:rsidR="00F0235E" w:rsidRDefault="00000000">
      <w:pPr>
        <w:spacing w:after="100" w:line="276" w:lineRule="auto"/>
        <w:ind w:left="936" w:hanging="431"/>
      </w:pPr>
      <w:r>
        <w:t>c.</w:t>
      </w:r>
      <w:r>
        <w:tab/>
        <w:t>New service must be installed and started by July 1, 2027. The contract must include a statement that all fees will be covered by the new vendor if the service is not connected by July 1, 2027.</w:t>
      </w:r>
    </w:p>
    <w:p w14:paraId="6921B296" w14:textId="77777777" w:rsidR="00F0235E" w:rsidRDefault="00000000">
      <w:pPr>
        <w:spacing w:after="100" w:line="276" w:lineRule="auto"/>
        <w:ind w:left="431" w:hanging="431"/>
      </w:pPr>
      <w:r>
        <w:t>4.</w:t>
      </w:r>
      <w:r>
        <w:tab/>
        <w:t>Demarcation</w:t>
      </w:r>
    </w:p>
    <w:p w14:paraId="4CCD1449" w14:textId="77777777" w:rsidR="00F0235E" w:rsidRDefault="00000000">
      <w:pPr>
        <w:spacing w:after="100" w:line="276" w:lineRule="auto"/>
        <w:ind w:left="936" w:hanging="431"/>
      </w:pPr>
      <w:r>
        <w:t>a.</w:t>
      </w:r>
      <w:r>
        <w:tab/>
        <w:t>All solutions must terminate service or infrastructure at the demarcation point at the address specified in the pricing sheet.</w:t>
      </w:r>
    </w:p>
    <w:p w14:paraId="72900EA8" w14:textId="77777777" w:rsidR="00F0235E" w:rsidRDefault="00000000">
      <w:pPr>
        <w:spacing w:after="100" w:line="276" w:lineRule="auto"/>
        <w:ind w:left="936" w:hanging="431"/>
      </w:pPr>
      <w:r>
        <w:t>b.</w:t>
      </w:r>
      <w:r>
        <w:tab/>
        <w:t>Solutions bringing service to the property line but not to the demarcation point are not acceptable.</w:t>
      </w:r>
    </w:p>
    <w:p w14:paraId="1B8F3094" w14:textId="77777777" w:rsidR="00F0235E" w:rsidRDefault="00000000">
      <w:pPr>
        <w:spacing w:after="100" w:line="276" w:lineRule="auto"/>
        <w:ind w:left="936" w:hanging="431"/>
      </w:pPr>
      <w:r>
        <w:t>c.</w:t>
      </w:r>
      <w:r>
        <w:tab/>
        <w:t>The respondent must specify the demarcation setup included in the base fees (e.g., wall-mounted CPE and handoff type, rack-mount patch panel, etc.).</w:t>
      </w:r>
    </w:p>
    <w:p w14:paraId="5F4766D2" w14:textId="77777777" w:rsidR="00F0235E" w:rsidRDefault="00000000">
      <w:pPr>
        <w:spacing w:after="100" w:line="276" w:lineRule="auto"/>
        <w:ind w:left="431" w:hanging="431"/>
      </w:pPr>
      <w:r>
        <w:t>5.</w:t>
      </w:r>
      <w:r>
        <w:tab/>
        <w:t>Network Diagram</w:t>
      </w:r>
    </w:p>
    <w:p w14:paraId="514063F3" w14:textId="77777777" w:rsidR="00F0235E" w:rsidRDefault="00000000">
      <w:pPr>
        <w:spacing w:after="100" w:line="276" w:lineRule="auto"/>
        <w:ind w:left="936" w:hanging="431"/>
      </w:pPr>
      <w:r>
        <w:t>a.</w:t>
      </w:r>
      <w:r>
        <w:tab/>
        <w:t>For each response, respondents must include a network diagram displaying the path(s) used to serve the endpoint, including any routing through aggregation hubs, equipment, or third-party facilities.</w:t>
      </w:r>
    </w:p>
    <w:p w14:paraId="2E473D11" w14:textId="77777777" w:rsidR="00F0235E" w:rsidRDefault="00000000">
      <w:pPr>
        <w:spacing w:after="100" w:line="276" w:lineRule="auto"/>
        <w:ind w:left="431" w:hanging="431"/>
      </w:pPr>
      <w:r>
        <w:t>6.</w:t>
      </w:r>
      <w:r>
        <w:tab/>
        <w:t>References</w:t>
      </w:r>
    </w:p>
    <w:p w14:paraId="7DFE7C34" w14:textId="77777777" w:rsidR="00F0235E" w:rsidRDefault="00000000">
      <w:pPr>
        <w:spacing w:after="100" w:line="276" w:lineRule="auto"/>
        <w:ind w:left="936" w:hanging="431"/>
      </w:pPr>
      <w:r>
        <w:t>a.</w:t>
      </w:r>
      <w:r>
        <w:tab/>
        <w:t>For each response, the respondent must provide three (3) references from current or recent customers (preferably K-12) with projects equivalent to the size of the Applicant — see Appendix B.</w:t>
      </w:r>
    </w:p>
    <w:p w14:paraId="26EFDE96" w14:textId="77777777" w:rsidR="00F0235E" w:rsidRDefault="00000000">
      <w:pPr>
        <w:spacing w:after="100" w:line="276" w:lineRule="auto"/>
        <w:ind w:left="431" w:hanging="431"/>
      </w:pPr>
      <w:r>
        <w:t>7.</w:t>
      </w:r>
      <w:r>
        <w:tab/>
        <w:t>Contract</w:t>
      </w:r>
    </w:p>
    <w:p w14:paraId="5B3AF888" w14:textId="77777777" w:rsidR="00F0235E" w:rsidRDefault="00000000">
      <w:pPr>
        <w:spacing w:after="100" w:line="276" w:lineRule="auto"/>
        <w:ind w:left="936" w:hanging="431"/>
      </w:pPr>
      <w:r>
        <w:t>a.</w:t>
      </w:r>
      <w:r>
        <w:tab/>
        <w:t>For each response, respondents must provide a prepared service contract ready for signing within 10 business days of receiving the Letter of Intent.</w:t>
      </w:r>
    </w:p>
    <w:p w14:paraId="005D63A9" w14:textId="77777777" w:rsidR="00F0235E" w:rsidRDefault="00000000">
      <w:pPr>
        <w:spacing w:after="100" w:line="276" w:lineRule="auto"/>
        <w:ind w:left="431" w:hanging="431"/>
      </w:pPr>
      <w:r>
        <w:t>8.</w:t>
      </w:r>
      <w:r>
        <w:tab/>
        <w:t>Bandwidth Changes</w:t>
      </w:r>
    </w:p>
    <w:p w14:paraId="19C4ED3D" w14:textId="77777777" w:rsidR="00F0235E" w:rsidRDefault="00000000">
      <w:pPr>
        <w:spacing w:after="100" w:line="276" w:lineRule="auto"/>
        <w:ind w:left="936" w:hanging="431"/>
      </w:pPr>
      <w:r>
        <w:t>a.</w:t>
      </w:r>
      <w:r>
        <w:tab/>
        <w:t>The contract established with the winning bidder must allow for upgrading or downgrading bandwidth, up to 25 Gbps, during the full term of the contract including extensions, without requiring a new contract. Any applicable upgrade or downgrade fees must be disclosed in the proposal (see Section 3).</w:t>
      </w:r>
    </w:p>
    <w:p w14:paraId="32CE0266" w14:textId="77777777" w:rsidR="00F0235E" w:rsidRDefault="00000000">
      <w:pPr>
        <w:spacing w:after="100" w:line="276" w:lineRule="auto"/>
        <w:ind w:left="431" w:hanging="431"/>
      </w:pPr>
      <w:r>
        <w:t>9.</w:t>
      </w:r>
      <w:r>
        <w:tab/>
        <w:t>Complete and include the checklist in Appendix C.</w:t>
      </w:r>
    </w:p>
    <w:p w14:paraId="243EBE9B" w14:textId="77777777" w:rsidR="00F0235E" w:rsidRDefault="00000000">
      <w:pPr>
        <w:spacing w:after="100" w:line="276" w:lineRule="auto"/>
        <w:ind w:left="431" w:hanging="431"/>
      </w:pPr>
      <w:r>
        <w:t>10.</w:t>
      </w:r>
      <w:r>
        <w:tab/>
        <w:t>Complete and include the Internet Pricing Worksheet in Appendix D.</w:t>
      </w:r>
    </w:p>
    <w:p w14:paraId="16230B2A" w14:textId="77777777" w:rsidR="00F0235E" w:rsidRDefault="00000000">
      <w:pPr>
        <w:spacing w:after="100" w:line="276" w:lineRule="auto"/>
        <w:ind w:left="431" w:hanging="431"/>
      </w:pPr>
      <w:r>
        <w:t>11.</w:t>
      </w:r>
      <w:r>
        <w:tab/>
        <w:t>E-rate Program Integrity Assurance (PIA) Review</w:t>
      </w:r>
    </w:p>
    <w:p w14:paraId="59700F57" w14:textId="77777777" w:rsidR="00F0235E" w:rsidRDefault="00000000">
      <w:pPr>
        <w:spacing w:after="100" w:line="276" w:lineRule="auto"/>
        <w:ind w:left="936" w:hanging="431"/>
      </w:pPr>
      <w:r>
        <w:t>a.</w:t>
      </w:r>
      <w:r>
        <w:tab/>
        <w:t>If selected, respondents are required to promptly provide the Applicant with any information requested as part of PIA review.</w:t>
      </w:r>
    </w:p>
    <w:p w14:paraId="3B096894" w14:textId="77777777" w:rsidR="00F0235E" w:rsidRDefault="00000000">
      <w:pPr>
        <w:spacing w:after="100" w:line="276" w:lineRule="auto"/>
        <w:ind w:left="936" w:hanging="431"/>
      </w:pPr>
      <w:r>
        <w:t>b.</w:t>
      </w:r>
      <w:r>
        <w:tab/>
        <w:t>Vendors may assist applicants with preparing funding requests or responding to PIA questions and may speak directly with PIA reviewers.</w:t>
      </w:r>
    </w:p>
    <w:p w14:paraId="72FDC5C9" w14:textId="77777777" w:rsidR="00F0235E" w:rsidRDefault="00000000">
      <w:pPr>
        <w:spacing w:after="100" w:line="276" w:lineRule="auto"/>
        <w:ind w:left="863" w:hanging="431"/>
      </w:pPr>
      <w:r>
        <w:t>c.</w:t>
      </w:r>
      <w:r>
        <w:tab/>
      </w:r>
      <w:r>
        <w:rPr>
          <w:b/>
          <w:bCs/>
        </w:rPr>
        <w:t>All responses must agree, in writing, to this section in the Appendix C checklist. Failure to answer is grounds for disqualification.</w:t>
      </w:r>
    </w:p>
    <w:p w14:paraId="0C99AFED" w14:textId="77777777" w:rsidR="00F0235E" w:rsidRDefault="00000000">
      <w:pPr>
        <w:spacing w:after="100" w:line="276" w:lineRule="auto"/>
        <w:ind w:left="431" w:hanging="431"/>
      </w:pPr>
      <w:r>
        <w:t>12.</w:t>
      </w:r>
      <w:r>
        <w:tab/>
        <w:t>Required Notice to Proceed and Funding Availability</w:t>
      </w:r>
    </w:p>
    <w:p w14:paraId="7EFECCF8" w14:textId="77777777" w:rsidR="00F0235E" w:rsidRDefault="00000000">
      <w:pPr>
        <w:spacing w:after="100" w:line="276" w:lineRule="auto"/>
        <w:ind w:left="936" w:hanging="431"/>
      </w:pPr>
      <w:r>
        <w:t>a.</w:t>
      </w:r>
      <w:r>
        <w:tab/>
        <w:t>The Applicant will follow the purchasing policies of the Warren County School Board and the requirements and procedures of the FCC’s E-rate program as administered by the Universal Service Administrative Company (USAC) to be eligible for all available funding.</w:t>
      </w:r>
    </w:p>
    <w:p w14:paraId="100A36F0" w14:textId="77777777" w:rsidR="00F0235E" w:rsidRDefault="00000000">
      <w:pPr>
        <w:spacing w:after="100" w:line="276" w:lineRule="auto"/>
        <w:ind w:left="936" w:hanging="431"/>
      </w:pPr>
      <w:r>
        <w:t>b.</w:t>
      </w:r>
      <w:r>
        <w:tab/>
        <w:t>The implementation of any associated contracts resulting from this competitive bid process will be dependent on the District’s issuance of a written Notice to Proceed.</w:t>
      </w:r>
    </w:p>
    <w:p w14:paraId="72EA5DF1" w14:textId="77777777" w:rsidR="00F0235E" w:rsidRDefault="00000000">
      <w:pPr>
        <w:spacing w:after="100" w:line="276" w:lineRule="auto"/>
        <w:ind w:left="936" w:hanging="431"/>
      </w:pPr>
      <w:r>
        <w:t>c.</w:t>
      </w:r>
      <w:r>
        <w:tab/>
        <w:t>E-rate funding notification alone will not signify Notice to Proceed. The District has the right to allow the contract to expire without implementation if appropriate funding does not become available.</w:t>
      </w:r>
    </w:p>
    <w:p w14:paraId="2422CEB4" w14:textId="77777777" w:rsidR="00F0235E" w:rsidRDefault="00000000">
      <w:pPr>
        <w:spacing w:after="100" w:line="276" w:lineRule="auto"/>
        <w:ind w:left="431" w:hanging="431"/>
      </w:pPr>
      <w:r>
        <w:t>13.</w:t>
      </w:r>
      <w:r>
        <w:tab/>
        <w:t>Public Document: A service provider’s entire response to a request for proposals and the resulting contract are public documents subject to disclosure under applicable Virginia public records law. All submissions are subject to public disclosure. If your submission contains information you consider confidential or proprietary, you may provide a redacted version along with the original, clearly indicating what has been removed and the justification. The final determination of confidentiality is subject to applicable public records laws.</w:t>
      </w:r>
    </w:p>
    <w:p w14:paraId="66609572" w14:textId="77777777" w:rsidR="00F0235E" w:rsidRDefault="00000000">
      <w:pPr>
        <w:pStyle w:val="Heading1"/>
        <w:spacing w:before="320" w:after="140"/>
      </w:pPr>
      <w:r>
        <w:rPr>
          <w:b/>
          <w:bCs/>
          <w:color w:val="1F3864"/>
          <w:sz w:val="28"/>
          <w:szCs w:val="28"/>
        </w:rPr>
        <w:t>Section 6: Evaluation Criteria</w:t>
      </w:r>
    </w:p>
    <w:p w14:paraId="22523040" w14:textId="77777777" w:rsidR="00F0235E" w:rsidRDefault="00000000">
      <w:pPr>
        <w:spacing w:after="120"/>
      </w:pPr>
      <w:r>
        <w:rPr>
          <w:b/>
          <w:bCs/>
          <w:color w:val="1F3864"/>
          <w:u w:val="single"/>
        </w:rPr>
        <w:t>RESPONDENT SELECTION SCORING</w:t>
      </w:r>
    </w:p>
    <w:p w14:paraId="4611C810" w14:textId="77777777" w:rsidR="00F0235E" w:rsidRDefault="00000000">
      <w:pPr>
        <w:spacing w:after="120" w:line="276" w:lineRule="auto"/>
      </w:pPr>
      <w:r>
        <w:t>Internet access proposals will be scored according to the following rubric, with E-rate eligible cost as the highest-weighted factor: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7660"/>
      </w:tblGrid>
      <w:tr w:rsidR="00F0235E" w14:paraId="78C4F552" w14:textId="77777777">
        <w:trPr>
          <w:tblHeader/>
        </w:trPr>
        <w:tc>
          <w:tcPr>
            <w:tcW w:w="1700" w:type="dxa"/>
            <w:shd w:val="clear" w:color="auto" w:fill="1F3864"/>
            <w:tcMar>
              <w:top w:w="60" w:type="dxa"/>
              <w:left w:w="90" w:type="dxa"/>
              <w:bottom w:w="60" w:type="dxa"/>
              <w:right w:w="90" w:type="dxa"/>
            </w:tcMar>
          </w:tcPr>
          <w:p w14:paraId="3334EC39" w14:textId="77777777" w:rsidR="00F0235E" w:rsidRDefault="00000000">
            <w:pPr>
              <w:jc w:val="center"/>
            </w:pPr>
            <w:r>
              <w:rPr>
                <w:b/>
                <w:bCs/>
                <w:color w:val="FFFFFF"/>
                <w:sz w:val="20"/>
                <w:szCs w:val="20"/>
              </w:rPr>
              <w:t>% Weight</w:t>
            </w:r>
          </w:p>
        </w:tc>
        <w:tc>
          <w:tcPr>
            <w:tcW w:w="7660" w:type="dxa"/>
            <w:shd w:val="clear" w:color="auto" w:fill="1F3864"/>
            <w:tcMar>
              <w:top w:w="60" w:type="dxa"/>
              <w:left w:w="90" w:type="dxa"/>
              <w:bottom w:w="60" w:type="dxa"/>
              <w:right w:w="90" w:type="dxa"/>
            </w:tcMar>
          </w:tcPr>
          <w:p w14:paraId="10571B74" w14:textId="77777777" w:rsidR="00F0235E" w:rsidRDefault="00000000">
            <w:r>
              <w:rPr>
                <w:b/>
                <w:bCs/>
                <w:color w:val="FFFFFF"/>
                <w:sz w:val="20"/>
                <w:szCs w:val="20"/>
              </w:rPr>
              <w:t>Criteria</w:t>
            </w:r>
          </w:p>
        </w:tc>
      </w:tr>
      <w:tr w:rsidR="00F0235E" w14:paraId="3A57DFC6" w14:textId="77777777">
        <w:tc>
          <w:tcPr>
            <w:tcW w:w="1700" w:type="dxa"/>
            <w:shd w:val="clear" w:color="auto" w:fill="FFFFFF"/>
            <w:tcMar>
              <w:top w:w="60" w:type="dxa"/>
              <w:left w:w="90" w:type="dxa"/>
              <w:bottom w:w="60" w:type="dxa"/>
              <w:right w:w="90" w:type="dxa"/>
            </w:tcMar>
          </w:tcPr>
          <w:p w14:paraId="3704563B" w14:textId="77777777" w:rsidR="00F0235E" w:rsidRDefault="00000000">
            <w:pPr>
              <w:jc w:val="center"/>
            </w:pPr>
            <w:r>
              <w:rPr>
                <w:color w:val="000000"/>
                <w:sz w:val="20"/>
                <w:szCs w:val="20"/>
              </w:rPr>
              <w:t>40%</w:t>
            </w:r>
          </w:p>
        </w:tc>
        <w:tc>
          <w:tcPr>
            <w:tcW w:w="7660" w:type="dxa"/>
            <w:shd w:val="clear" w:color="auto" w:fill="FFFFFF"/>
            <w:tcMar>
              <w:top w:w="60" w:type="dxa"/>
              <w:left w:w="90" w:type="dxa"/>
              <w:bottom w:w="60" w:type="dxa"/>
              <w:right w:w="90" w:type="dxa"/>
            </w:tcMar>
          </w:tcPr>
          <w:p w14:paraId="3C6CF09F" w14:textId="77777777" w:rsidR="00F0235E" w:rsidRDefault="00000000">
            <w:r>
              <w:rPr>
                <w:color w:val="000000"/>
                <w:sz w:val="20"/>
                <w:szCs w:val="20"/>
              </w:rPr>
              <w:t>E-rate eligible recurring and non-recurring costs</w:t>
            </w:r>
          </w:p>
        </w:tc>
      </w:tr>
      <w:tr w:rsidR="00F0235E" w14:paraId="5C97F57D" w14:textId="77777777">
        <w:tc>
          <w:tcPr>
            <w:tcW w:w="1700" w:type="dxa"/>
            <w:shd w:val="clear" w:color="auto" w:fill="F2F6FB"/>
            <w:tcMar>
              <w:top w:w="60" w:type="dxa"/>
              <w:left w:w="90" w:type="dxa"/>
              <w:bottom w:w="60" w:type="dxa"/>
              <w:right w:w="90" w:type="dxa"/>
            </w:tcMar>
          </w:tcPr>
          <w:p w14:paraId="58308ADE" w14:textId="77777777" w:rsidR="00F0235E" w:rsidRDefault="00000000">
            <w:pPr>
              <w:jc w:val="center"/>
            </w:pPr>
            <w:r>
              <w:rPr>
                <w:color w:val="000000"/>
                <w:sz w:val="20"/>
                <w:szCs w:val="20"/>
              </w:rPr>
              <w:t>20%</w:t>
            </w:r>
          </w:p>
        </w:tc>
        <w:tc>
          <w:tcPr>
            <w:tcW w:w="7660" w:type="dxa"/>
            <w:shd w:val="clear" w:color="auto" w:fill="F2F6FB"/>
            <w:tcMar>
              <w:top w:w="60" w:type="dxa"/>
              <w:left w:w="90" w:type="dxa"/>
              <w:bottom w:w="60" w:type="dxa"/>
              <w:right w:w="90" w:type="dxa"/>
            </w:tcMar>
          </w:tcPr>
          <w:p w14:paraId="594C3B9E" w14:textId="77777777" w:rsidR="00F0235E" w:rsidRDefault="00000000">
            <w:r>
              <w:rPr>
                <w:color w:val="000000"/>
                <w:sz w:val="20"/>
                <w:szCs w:val="20"/>
              </w:rPr>
              <w:t>Ability to support the requirements laid out in this RFP</w:t>
            </w:r>
          </w:p>
        </w:tc>
      </w:tr>
      <w:tr w:rsidR="00F0235E" w14:paraId="0CD090C4" w14:textId="77777777">
        <w:tc>
          <w:tcPr>
            <w:tcW w:w="1700" w:type="dxa"/>
            <w:shd w:val="clear" w:color="auto" w:fill="FFFFFF"/>
            <w:tcMar>
              <w:top w:w="60" w:type="dxa"/>
              <w:left w:w="90" w:type="dxa"/>
              <w:bottom w:w="60" w:type="dxa"/>
              <w:right w:w="90" w:type="dxa"/>
            </w:tcMar>
          </w:tcPr>
          <w:p w14:paraId="4CB19520" w14:textId="77777777" w:rsidR="00F0235E" w:rsidRDefault="00000000">
            <w:pPr>
              <w:jc w:val="center"/>
            </w:pPr>
            <w:r>
              <w:rPr>
                <w:color w:val="000000"/>
                <w:sz w:val="20"/>
                <w:szCs w:val="20"/>
              </w:rPr>
              <w:t>10%</w:t>
            </w:r>
          </w:p>
        </w:tc>
        <w:tc>
          <w:tcPr>
            <w:tcW w:w="7660" w:type="dxa"/>
            <w:shd w:val="clear" w:color="auto" w:fill="FFFFFF"/>
            <w:tcMar>
              <w:top w:w="60" w:type="dxa"/>
              <w:left w:w="90" w:type="dxa"/>
              <w:bottom w:w="60" w:type="dxa"/>
              <w:right w:w="90" w:type="dxa"/>
            </w:tcMar>
          </w:tcPr>
          <w:p w14:paraId="53B2C8DC" w14:textId="77777777" w:rsidR="00F0235E" w:rsidRDefault="00000000">
            <w:r>
              <w:rPr>
                <w:color w:val="000000"/>
                <w:sz w:val="20"/>
                <w:szCs w:val="20"/>
              </w:rPr>
              <w:t>Proposed contract terms and conditions</w:t>
            </w:r>
          </w:p>
        </w:tc>
      </w:tr>
      <w:tr w:rsidR="00F0235E" w14:paraId="699D22A8" w14:textId="77777777">
        <w:tc>
          <w:tcPr>
            <w:tcW w:w="1700" w:type="dxa"/>
            <w:shd w:val="clear" w:color="auto" w:fill="F2F6FB"/>
            <w:tcMar>
              <w:top w:w="60" w:type="dxa"/>
              <w:left w:w="90" w:type="dxa"/>
              <w:bottom w:w="60" w:type="dxa"/>
              <w:right w:w="90" w:type="dxa"/>
            </w:tcMar>
          </w:tcPr>
          <w:p w14:paraId="384E77CF" w14:textId="77777777" w:rsidR="00F0235E" w:rsidRDefault="00000000">
            <w:pPr>
              <w:jc w:val="center"/>
            </w:pPr>
            <w:r>
              <w:rPr>
                <w:color w:val="000000"/>
                <w:sz w:val="20"/>
                <w:szCs w:val="20"/>
              </w:rPr>
              <w:t>10%</w:t>
            </w:r>
          </w:p>
        </w:tc>
        <w:tc>
          <w:tcPr>
            <w:tcW w:w="7660" w:type="dxa"/>
            <w:shd w:val="clear" w:color="auto" w:fill="F2F6FB"/>
            <w:tcMar>
              <w:top w:w="60" w:type="dxa"/>
              <w:left w:w="90" w:type="dxa"/>
              <w:bottom w:w="60" w:type="dxa"/>
              <w:right w:w="90" w:type="dxa"/>
            </w:tcMar>
          </w:tcPr>
          <w:p w14:paraId="35571A6A" w14:textId="77777777" w:rsidR="00F0235E" w:rsidRDefault="00000000">
            <w:r>
              <w:rPr>
                <w:color w:val="000000"/>
                <w:sz w:val="20"/>
                <w:szCs w:val="20"/>
              </w:rPr>
              <w:t>Service uptime, availability, and reliability</w:t>
            </w:r>
          </w:p>
        </w:tc>
      </w:tr>
      <w:tr w:rsidR="00F0235E" w14:paraId="0F4ECBB6" w14:textId="77777777">
        <w:tc>
          <w:tcPr>
            <w:tcW w:w="1700" w:type="dxa"/>
            <w:shd w:val="clear" w:color="auto" w:fill="FFFFFF"/>
            <w:tcMar>
              <w:top w:w="60" w:type="dxa"/>
              <w:left w:w="90" w:type="dxa"/>
              <w:bottom w:w="60" w:type="dxa"/>
              <w:right w:w="90" w:type="dxa"/>
            </w:tcMar>
          </w:tcPr>
          <w:p w14:paraId="4C47722E" w14:textId="77777777" w:rsidR="00F0235E" w:rsidRDefault="00000000">
            <w:pPr>
              <w:jc w:val="center"/>
            </w:pPr>
            <w:r>
              <w:rPr>
                <w:color w:val="000000"/>
                <w:sz w:val="20"/>
                <w:szCs w:val="20"/>
              </w:rPr>
              <w:t>10%</w:t>
            </w:r>
          </w:p>
        </w:tc>
        <w:tc>
          <w:tcPr>
            <w:tcW w:w="7660" w:type="dxa"/>
            <w:shd w:val="clear" w:color="auto" w:fill="FFFFFF"/>
            <w:tcMar>
              <w:top w:w="60" w:type="dxa"/>
              <w:left w:w="90" w:type="dxa"/>
              <w:bottom w:w="60" w:type="dxa"/>
              <w:right w:w="90" w:type="dxa"/>
            </w:tcMar>
          </w:tcPr>
          <w:p w14:paraId="6BF41ECF" w14:textId="77777777" w:rsidR="00F0235E" w:rsidRDefault="00000000">
            <w:r>
              <w:rPr>
                <w:color w:val="000000"/>
                <w:sz w:val="20"/>
                <w:szCs w:val="20"/>
              </w:rPr>
              <w:t>Demonstrated scalability of technology through pricing for the higher 25 Gbps bandwidth tier</w:t>
            </w:r>
          </w:p>
        </w:tc>
      </w:tr>
      <w:tr w:rsidR="00F0235E" w14:paraId="316CC6D8" w14:textId="77777777">
        <w:tc>
          <w:tcPr>
            <w:tcW w:w="1700" w:type="dxa"/>
            <w:shd w:val="clear" w:color="auto" w:fill="F2F6FB"/>
            <w:tcMar>
              <w:top w:w="60" w:type="dxa"/>
              <w:left w:w="90" w:type="dxa"/>
              <w:bottom w:w="60" w:type="dxa"/>
              <w:right w:w="90" w:type="dxa"/>
            </w:tcMar>
          </w:tcPr>
          <w:p w14:paraId="5CE9B6CB" w14:textId="77777777" w:rsidR="00F0235E" w:rsidRDefault="00000000">
            <w:pPr>
              <w:jc w:val="center"/>
            </w:pPr>
            <w:r>
              <w:rPr>
                <w:color w:val="000000"/>
                <w:sz w:val="20"/>
                <w:szCs w:val="20"/>
              </w:rPr>
              <w:t>10%</w:t>
            </w:r>
          </w:p>
        </w:tc>
        <w:tc>
          <w:tcPr>
            <w:tcW w:w="7660" w:type="dxa"/>
            <w:shd w:val="clear" w:color="auto" w:fill="F2F6FB"/>
            <w:tcMar>
              <w:top w:w="60" w:type="dxa"/>
              <w:left w:w="90" w:type="dxa"/>
              <w:bottom w:w="60" w:type="dxa"/>
              <w:right w:w="90" w:type="dxa"/>
            </w:tcMar>
          </w:tcPr>
          <w:p w14:paraId="0D1673FF" w14:textId="77777777" w:rsidR="00F0235E" w:rsidRDefault="00000000">
            <w:r>
              <w:rPr>
                <w:color w:val="000000"/>
                <w:sz w:val="20"/>
                <w:szCs w:val="20"/>
              </w:rPr>
              <w:t>Provider references</w:t>
            </w:r>
          </w:p>
        </w:tc>
      </w:tr>
    </w:tbl>
    <w:p w14:paraId="351511B4" w14:textId="77777777" w:rsidR="00F0235E" w:rsidRDefault="00000000">
      <w:pPr>
        <w:pStyle w:val="Heading1"/>
        <w:spacing w:before="320" w:after="140"/>
      </w:pPr>
      <w:r>
        <w:rPr>
          <w:b/>
          <w:bCs/>
          <w:color w:val="1F3864"/>
          <w:sz w:val="28"/>
          <w:szCs w:val="28"/>
        </w:rPr>
        <w:t>Section 7: Protest</w:t>
      </w:r>
    </w:p>
    <w:p w14:paraId="0454F9F1" w14:textId="77777777" w:rsidR="00F0235E" w:rsidRDefault="00000000">
      <w:pPr>
        <w:spacing w:after="120" w:line="276" w:lineRule="auto"/>
      </w:pPr>
      <w:r>
        <w:t>Bid protests must follow the applicable procurement protest procedures of the Warren County School Board and the Commonwealth of Virginia. Bid protests are governed by the Virginia Public Procurement Act, Code of Virginia § 2.2-4300 et seq. (including § 2.2-4360 and § 2.2-4364).</w:t>
      </w:r>
    </w:p>
    <w:p w14:paraId="4B0533F8" w14:textId="77777777" w:rsidR="00F0235E" w:rsidRDefault="00000000">
      <w:r>
        <w:br w:type="page"/>
      </w:r>
    </w:p>
    <w:p w14:paraId="21A78B62" w14:textId="77777777" w:rsidR="00F0235E" w:rsidRDefault="00000000">
      <w:pPr>
        <w:pStyle w:val="Heading1"/>
        <w:spacing w:before="320" w:after="140"/>
      </w:pPr>
      <w:r>
        <w:rPr>
          <w:b/>
          <w:bCs/>
          <w:color w:val="1F3864"/>
          <w:sz w:val="28"/>
          <w:szCs w:val="28"/>
        </w:rPr>
        <w:t>Appendix A: Sites</w:t>
      </w:r>
    </w:p>
    <w:p w14:paraId="339B03B9" w14:textId="77777777" w:rsidR="00F0235E" w:rsidRDefault="00000000">
      <w:pPr>
        <w:spacing w:after="120" w:line="276" w:lineRule="auto"/>
      </w:pPr>
      <w:r>
        <w:t xml:space="preserve">Internet service will terminate at a single designated hub location, listed below. The District will distribute connectivity to its schools and facilities over its own wide area network.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60"/>
        <w:gridCol w:w="2400"/>
        <w:gridCol w:w="1650"/>
        <w:gridCol w:w="1450"/>
      </w:tblGrid>
      <w:tr w:rsidR="00F0235E" w14:paraId="1AB94A84" w14:textId="77777777">
        <w:trPr>
          <w:tblHeader/>
        </w:trPr>
        <w:tc>
          <w:tcPr>
            <w:tcW w:w="3860" w:type="dxa"/>
            <w:shd w:val="clear" w:color="auto" w:fill="1F3864"/>
            <w:tcMar>
              <w:top w:w="60" w:type="dxa"/>
              <w:left w:w="90" w:type="dxa"/>
              <w:bottom w:w="60" w:type="dxa"/>
              <w:right w:w="90" w:type="dxa"/>
            </w:tcMar>
          </w:tcPr>
          <w:p w14:paraId="5CEA90DE" w14:textId="77777777" w:rsidR="00F0235E" w:rsidRDefault="00000000">
            <w:r>
              <w:rPr>
                <w:b/>
                <w:bCs/>
                <w:color w:val="FFFFFF"/>
                <w:sz w:val="20"/>
                <w:szCs w:val="20"/>
              </w:rPr>
              <w:t>Entity Name</w:t>
            </w:r>
          </w:p>
        </w:tc>
        <w:tc>
          <w:tcPr>
            <w:tcW w:w="2400" w:type="dxa"/>
            <w:shd w:val="clear" w:color="auto" w:fill="1F3864"/>
            <w:tcMar>
              <w:top w:w="60" w:type="dxa"/>
              <w:left w:w="90" w:type="dxa"/>
              <w:bottom w:w="60" w:type="dxa"/>
              <w:right w:w="90" w:type="dxa"/>
            </w:tcMar>
          </w:tcPr>
          <w:p w14:paraId="2DC48B7C" w14:textId="77777777" w:rsidR="00F0235E" w:rsidRDefault="00000000">
            <w:r>
              <w:rPr>
                <w:b/>
                <w:bCs/>
                <w:color w:val="FFFFFF"/>
                <w:sz w:val="20"/>
                <w:szCs w:val="20"/>
              </w:rPr>
              <w:t>Street Address</w:t>
            </w:r>
          </w:p>
        </w:tc>
        <w:tc>
          <w:tcPr>
            <w:tcW w:w="1650" w:type="dxa"/>
            <w:shd w:val="clear" w:color="auto" w:fill="1F3864"/>
            <w:tcMar>
              <w:top w:w="60" w:type="dxa"/>
              <w:left w:w="90" w:type="dxa"/>
              <w:bottom w:w="60" w:type="dxa"/>
              <w:right w:w="90" w:type="dxa"/>
            </w:tcMar>
          </w:tcPr>
          <w:p w14:paraId="6827F108" w14:textId="77777777" w:rsidR="00F0235E" w:rsidRDefault="00000000">
            <w:r>
              <w:rPr>
                <w:b/>
                <w:bCs/>
                <w:color w:val="FFFFFF"/>
                <w:sz w:val="20"/>
                <w:szCs w:val="20"/>
              </w:rPr>
              <w:t>City</w:t>
            </w:r>
          </w:p>
        </w:tc>
        <w:tc>
          <w:tcPr>
            <w:tcW w:w="1450" w:type="dxa"/>
            <w:shd w:val="clear" w:color="auto" w:fill="1F3864"/>
            <w:tcMar>
              <w:top w:w="60" w:type="dxa"/>
              <w:left w:w="90" w:type="dxa"/>
              <w:bottom w:w="60" w:type="dxa"/>
              <w:right w:w="90" w:type="dxa"/>
            </w:tcMar>
          </w:tcPr>
          <w:p w14:paraId="5F56A9B4" w14:textId="77777777" w:rsidR="00F0235E" w:rsidRDefault="00000000">
            <w:r>
              <w:rPr>
                <w:b/>
                <w:bCs/>
                <w:color w:val="FFFFFF"/>
                <w:sz w:val="20"/>
                <w:szCs w:val="20"/>
              </w:rPr>
              <w:t>Zip</w:t>
            </w:r>
          </w:p>
        </w:tc>
      </w:tr>
      <w:tr w:rsidR="008008EB" w14:paraId="54B21CCC" w14:textId="77777777">
        <w:tc>
          <w:tcPr>
            <w:tcW w:w="3860" w:type="dxa"/>
            <w:shd w:val="clear" w:color="auto" w:fill="F2F6FB"/>
            <w:tcMar>
              <w:top w:w="60" w:type="dxa"/>
              <w:left w:w="90" w:type="dxa"/>
              <w:bottom w:w="60" w:type="dxa"/>
              <w:right w:w="90" w:type="dxa"/>
            </w:tcMar>
          </w:tcPr>
          <w:p w14:paraId="516C618D" w14:textId="77777777" w:rsidR="00F0235E" w:rsidRPr="009266F0" w:rsidRDefault="00000000">
            <w:r>
              <w:rPr>
                <w:color w:val="000000"/>
                <w:sz w:val="20"/>
                <w:szCs w:val="20"/>
              </w:rPr>
              <w:t>Warren County School Board Office</w:t>
            </w:r>
          </w:p>
        </w:tc>
        <w:tc>
          <w:tcPr>
            <w:tcW w:w="2400" w:type="dxa"/>
            <w:shd w:val="clear" w:color="auto" w:fill="F2F6FB"/>
            <w:tcMar>
              <w:top w:w="60" w:type="dxa"/>
              <w:left w:w="90" w:type="dxa"/>
              <w:bottom w:w="60" w:type="dxa"/>
              <w:right w:w="90" w:type="dxa"/>
            </w:tcMar>
          </w:tcPr>
          <w:p w14:paraId="45E72F85" w14:textId="77777777" w:rsidR="00F0235E" w:rsidRPr="009266F0" w:rsidRDefault="00000000">
            <w:r>
              <w:rPr>
                <w:color w:val="000000"/>
                <w:sz w:val="20"/>
                <w:szCs w:val="20"/>
              </w:rPr>
              <w:t>210 N. Commerce Ave</w:t>
            </w:r>
          </w:p>
        </w:tc>
        <w:tc>
          <w:tcPr>
            <w:tcW w:w="1650" w:type="dxa"/>
            <w:shd w:val="clear" w:color="auto" w:fill="F2F6FB"/>
            <w:tcMar>
              <w:top w:w="60" w:type="dxa"/>
              <w:left w:w="90" w:type="dxa"/>
              <w:bottom w:w="60" w:type="dxa"/>
              <w:right w:w="90" w:type="dxa"/>
            </w:tcMar>
          </w:tcPr>
          <w:p w14:paraId="5116DE3A" w14:textId="77777777" w:rsidR="00F0235E" w:rsidRPr="009266F0" w:rsidRDefault="00000000">
            <w:r>
              <w:rPr>
                <w:color w:val="000000"/>
                <w:sz w:val="20"/>
                <w:szCs w:val="20"/>
              </w:rPr>
              <w:t>Front Royal</w:t>
            </w:r>
          </w:p>
        </w:tc>
        <w:tc>
          <w:tcPr>
            <w:tcW w:w="1450" w:type="dxa"/>
            <w:shd w:val="clear" w:color="auto" w:fill="F2F6FB"/>
            <w:tcMar>
              <w:top w:w="60" w:type="dxa"/>
              <w:left w:w="90" w:type="dxa"/>
              <w:bottom w:w="60" w:type="dxa"/>
              <w:right w:w="90" w:type="dxa"/>
            </w:tcMar>
          </w:tcPr>
          <w:p w14:paraId="755839E6" w14:textId="77777777" w:rsidR="00F0235E" w:rsidRPr="009266F0" w:rsidRDefault="00000000">
            <w:r>
              <w:rPr>
                <w:color w:val="000000"/>
                <w:sz w:val="20"/>
                <w:szCs w:val="20"/>
              </w:rPr>
              <w:t>22630</w:t>
            </w:r>
          </w:p>
        </w:tc>
      </w:tr>
    </w:tbl>
    <w:p w14:paraId="50079BD8" w14:textId="77777777" w:rsidR="00F0235E" w:rsidRDefault="00000000">
      <w:r>
        <w:br w:type="page"/>
      </w:r>
    </w:p>
    <w:p w14:paraId="4EF29039" w14:textId="77777777" w:rsidR="00F0235E" w:rsidRDefault="00000000">
      <w:pPr>
        <w:pStyle w:val="Heading1"/>
        <w:spacing w:before="320" w:after="140"/>
      </w:pPr>
      <w:r>
        <w:rPr>
          <w:b/>
          <w:bCs/>
          <w:color w:val="1F3864"/>
          <w:sz w:val="28"/>
          <w:szCs w:val="28"/>
        </w:rPr>
        <w:t>Appendix B: References</w:t>
      </w:r>
    </w:p>
    <w:p w14:paraId="4A93C3FB" w14:textId="77777777" w:rsidR="00F0235E" w:rsidRDefault="00000000">
      <w:pPr>
        <w:spacing w:after="120" w:line="276" w:lineRule="auto"/>
      </w:pPr>
      <w:r>
        <w:t>Provide three (3) references from current or recent customers (preferably K-12) with projects equivalent in size to the Applicant.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200"/>
        <w:gridCol w:w="2360"/>
        <w:gridCol w:w="1800"/>
      </w:tblGrid>
      <w:tr w:rsidR="00F0235E" w14:paraId="6622C157" w14:textId="77777777">
        <w:trPr>
          <w:tblHeader/>
        </w:trPr>
        <w:tc>
          <w:tcPr>
            <w:tcW w:w="3000" w:type="dxa"/>
            <w:shd w:val="clear" w:color="auto" w:fill="1F3864"/>
            <w:tcMar>
              <w:top w:w="60" w:type="dxa"/>
              <w:left w:w="90" w:type="dxa"/>
              <w:bottom w:w="60" w:type="dxa"/>
              <w:right w:w="90" w:type="dxa"/>
            </w:tcMar>
          </w:tcPr>
          <w:p w14:paraId="21D255E4" w14:textId="77777777" w:rsidR="00F0235E" w:rsidRDefault="00000000">
            <w:r>
              <w:rPr>
                <w:b/>
                <w:bCs/>
                <w:color w:val="FFFFFF"/>
                <w:sz w:val="20"/>
                <w:szCs w:val="20"/>
              </w:rPr>
              <w:t>School or Library System</w:t>
            </w:r>
          </w:p>
        </w:tc>
        <w:tc>
          <w:tcPr>
            <w:tcW w:w="2200" w:type="dxa"/>
            <w:shd w:val="clear" w:color="auto" w:fill="1F3864"/>
            <w:tcMar>
              <w:top w:w="60" w:type="dxa"/>
              <w:left w:w="90" w:type="dxa"/>
              <w:bottom w:w="60" w:type="dxa"/>
              <w:right w:w="90" w:type="dxa"/>
            </w:tcMar>
          </w:tcPr>
          <w:p w14:paraId="1D35E046" w14:textId="77777777" w:rsidR="00F0235E" w:rsidRDefault="00000000">
            <w:r>
              <w:rPr>
                <w:b/>
                <w:bCs/>
                <w:color w:val="FFFFFF"/>
                <w:sz w:val="20"/>
                <w:szCs w:val="20"/>
              </w:rPr>
              <w:t>Contact Name</w:t>
            </w:r>
          </w:p>
        </w:tc>
        <w:tc>
          <w:tcPr>
            <w:tcW w:w="2360" w:type="dxa"/>
            <w:shd w:val="clear" w:color="auto" w:fill="1F3864"/>
            <w:tcMar>
              <w:top w:w="60" w:type="dxa"/>
              <w:left w:w="90" w:type="dxa"/>
              <w:bottom w:w="60" w:type="dxa"/>
              <w:right w:w="90" w:type="dxa"/>
            </w:tcMar>
          </w:tcPr>
          <w:p w14:paraId="36E9AC1B" w14:textId="77777777" w:rsidR="00F0235E" w:rsidRDefault="00000000">
            <w:r>
              <w:rPr>
                <w:b/>
                <w:bCs/>
                <w:color w:val="FFFFFF"/>
                <w:sz w:val="20"/>
                <w:szCs w:val="20"/>
              </w:rPr>
              <w:t>Email Address</w:t>
            </w:r>
          </w:p>
        </w:tc>
        <w:tc>
          <w:tcPr>
            <w:tcW w:w="1800" w:type="dxa"/>
            <w:shd w:val="clear" w:color="auto" w:fill="1F3864"/>
            <w:tcMar>
              <w:top w:w="60" w:type="dxa"/>
              <w:left w:w="90" w:type="dxa"/>
              <w:bottom w:w="60" w:type="dxa"/>
              <w:right w:w="90" w:type="dxa"/>
            </w:tcMar>
          </w:tcPr>
          <w:p w14:paraId="3D7C5702" w14:textId="77777777" w:rsidR="00F0235E" w:rsidRDefault="00000000">
            <w:r>
              <w:rPr>
                <w:b/>
                <w:bCs/>
                <w:color w:val="FFFFFF"/>
                <w:sz w:val="20"/>
                <w:szCs w:val="20"/>
              </w:rPr>
              <w:t>Telephone</w:t>
            </w:r>
          </w:p>
        </w:tc>
      </w:tr>
      <w:tr w:rsidR="00F0235E" w14:paraId="7A0ADB85" w14:textId="77777777">
        <w:tc>
          <w:tcPr>
            <w:tcW w:w="3000" w:type="dxa"/>
            <w:tcMar>
              <w:top w:w="60" w:type="dxa"/>
              <w:left w:w="90" w:type="dxa"/>
              <w:bottom w:w="60" w:type="dxa"/>
              <w:right w:w="90" w:type="dxa"/>
            </w:tcMar>
          </w:tcPr>
          <w:p w14:paraId="5E6009BC"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2562570D"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48B25AD3"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7D5326F7" w14:textId="77777777" w:rsidR="00F0235E" w:rsidRDefault="00000000">
            <w:r>
              <w:rPr>
                <w:color w:val="000000"/>
                <w:sz w:val="20"/>
                <w:szCs w:val="20"/>
              </w:rPr>
              <w:t xml:space="preserve"> </w:t>
            </w:r>
          </w:p>
        </w:tc>
      </w:tr>
      <w:tr w:rsidR="00F0235E" w14:paraId="680C6EEF" w14:textId="77777777">
        <w:tc>
          <w:tcPr>
            <w:tcW w:w="3000" w:type="dxa"/>
            <w:tcMar>
              <w:top w:w="60" w:type="dxa"/>
              <w:left w:w="90" w:type="dxa"/>
              <w:bottom w:w="60" w:type="dxa"/>
              <w:right w:w="90" w:type="dxa"/>
            </w:tcMar>
          </w:tcPr>
          <w:p w14:paraId="0D947F05"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14D9A67B"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7CD470FB"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7CFF4524" w14:textId="77777777" w:rsidR="00F0235E" w:rsidRDefault="00000000">
            <w:r>
              <w:rPr>
                <w:color w:val="000000"/>
                <w:sz w:val="20"/>
                <w:szCs w:val="20"/>
              </w:rPr>
              <w:t xml:space="preserve"> </w:t>
            </w:r>
          </w:p>
        </w:tc>
      </w:tr>
      <w:tr w:rsidR="00F0235E" w14:paraId="542D9033" w14:textId="77777777">
        <w:tc>
          <w:tcPr>
            <w:tcW w:w="3000" w:type="dxa"/>
            <w:tcMar>
              <w:top w:w="60" w:type="dxa"/>
              <w:left w:w="90" w:type="dxa"/>
              <w:bottom w:w="60" w:type="dxa"/>
              <w:right w:w="90" w:type="dxa"/>
            </w:tcMar>
          </w:tcPr>
          <w:p w14:paraId="4008C694" w14:textId="77777777" w:rsidR="00F0235E" w:rsidRDefault="00000000">
            <w:r>
              <w:rPr>
                <w:color w:val="000000"/>
                <w:sz w:val="20"/>
                <w:szCs w:val="20"/>
              </w:rPr>
              <w:t xml:space="preserve"> </w:t>
            </w:r>
          </w:p>
        </w:tc>
        <w:tc>
          <w:tcPr>
            <w:tcW w:w="2200" w:type="dxa"/>
            <w:tcMar>
              <w:top w:w="60" w:type="dxa"/>
              <w:left w:w="90" w:type="dxa"/>
              <w:bottom w:w="60" w:type="dxa"/>
              <w:right w:w="90" w:type="dxa"/>
            </w:tcMar>
          </w:tcPr>
          <w:p w14:paraId="2BB6E9FE" w14:textId="77777777" w:rsidR="00F0235E" w:rsidRDefault="00000000">
            <w:r>
              <w:rPr>
                <w:color w:val="000000"/>
                <w:sz w:val="20"/>
                <w:szCs w:val="20"/>
              </w:rPr>
              <w:t xml:space="preserve"> </w:t>
            </w:r>
          </w:p>
        </w:tc>
        <w:tc>
          <w:tcPr>
            <w:tcW w:w="2360" w:type="dxa"/>
            <w:tcMar>
              <w:top w:w="60" w:type="dxa"/>
              <w:left w:w="90" w:type="dxa"/>
              <w:bottom w:w="60" w:type="dxa"/>
              <w:right w:w="90" w:type="dxa"/>
            </w:tcMar>
          </w:tcPr>
          <w:p w14:paraId="233B8107" w14:textId="77777777" w:rsidR="00F0235E" w:rsidRDefault="00000000">
            <w:r>
              <w:rPr>
                <w:color w:val="000000"/>
                <w:sz w:val="20"/>
                <w:szCs w:val="20"/>
              </w:rPr>
              <w:t xml:space="preserve"> </w:t>
            </w:r>
          </w:p>
        </w:tc>
        <w:tc>
          <w:tcPr>
            <w:tcW w:w="1800" w:type="dxa"/>
            <w:tcMar>
              <w:top w:w="60" w:type="dxa"/>
              <w:left w:w="90" w:type="dxa"/>
              <w:bottom w:w="60" w:type="dxa"/>
              <w:right w:w="90" w:type="dxa"/>
            </w:tcMar>
          </w:tcPr>
          <w:p w14:paraId="3CD1B585" w14:textId="77777777" w:rsidR="00F0235E" w:rsidRDefault="00000000">
            <w:r>
              <w:rPr>
                <w:color w:val="000000"/>
                <w:sz w:val="20"/>
                <w:szCs w:val="20"/>
              </w:rPr>
              <w:t xml:space="preserve"> </w:t>
            </w:r>
          </w:p>
        </w:tc>
      </w:tr>
    </w:tbl>
    <w:p w14:paraId="7301C90B" w14:textId="77777777" w:rsidR="00F0235E" w:rsidRDefault="00000000">
      <w:r>
        <w:br w:type="page"/>
      </w:r>
    </w:p>
    <w:p w14:paraId="268AA701" w14:textId="77777777" w:rsidR="00F0235E" w:rsidRDefault="00000000">
      <w:pPr>
        <w:pStyle w:val="Heading1"/>
        <w:spacing w:before="320" w:after="140"/>
      </w:pPr>
      <w:r>
        <w:rPr>
          <w:b/>
          <w:bCs/>
          <w:color w:val="1F3864"/>
          <w:sz w:val="28"/>
          <w:szCs w:val="28"/>
        </w:rPr>
        <w:t>Appendix C: Checklist</w:t>
      </w:r>
    </w:p>
    <w:p w14:paraId="30359C85" w14:textId="77777777" w:rsidR="00F0235E" w:rsidRDefault="00000000">
      <w:pPr>
        <w:spacing w:after="60" w:line="276" w:lineRule="auto"/>
      </w:pPr>
      <w:r>
        <w:t>☐  3-year proposal with voluntary one-year extensions</w:t>
      </w:r>
    </w:p>
    <w:p w14:paraId="13C254EA" w14:textId="77777777" w:rsidR="00F0235E" w:rsidRDefault="00000000">
      <w:pPr>
        <w:spacing w:after="60" w:line="276" w:lineRule="auto"/>
      </w:pPr>
      <w:r>
        <w:t>☐  5-year proposal with voluntary one-year extensions</w:t>
      </w:r>
    </w:p>
    <w:p w14:paraId="21404A22" w14:textId="77777777" w:rsidR="00F0235E" w:rsidRDefault="00000000">
      <w:pPr>
        <w:spacing w:after="60" w:line="276" w:lineRule="auto"/>
      </w:pPr>
      <w:r>
        <w:t>☐  10 Gbps Internet option included in a workable Excel spreadsheet</w:t>
      </w:r>
    </w:p>
    <w:p w14:paraId="3A68CBE0" w14:textId="77777777" w:rsidR="00F0235E" w:rsidRDefault="00000000">
      <w:pPr>
        <w:spacing w:after="60" w:line="276" w:lineRule="auto"/>
      </w:pPr>
      <w:r>
        <w:t>☐  25 Gbps Internet option included in a workable Excel spreadsheet</w:t>
      </w:r>
    </w:p>
    <w:p w14:paraId="61621BD3" w14:textId="77777777" w:rsidR="00F0235E" w:rsidRDefault="00000000">
      <w:pPr>
        <w:spacing w:after="60" w:line="276" w:lineRule="auto"/>
      </w:pPr>
      <w:r>
        <w:t>☐  Bandwidth is scalable up to 25 Gbps</w:t>
      </w:r>
    </w:p>
    <w:p w14:paraId="0BD26A7D" w14:textId="77777777" w:rsidR="00F0235E" w:rsidRDefault="00000000">
      <w:pPr>
        <w:spacing w:after="60" w:line="276" w:lineRule="auto"/>
      </w:pPr>
      <w:r>
        <w:t>☐  Pricing worksheet attached as a workable Excel spreadsheet</w:t>
      </w:r>
    </w:p>
    <w:p w14:paraId="224BE20D" w14:textId="77777777" w:rsidR="00F0235E" w:rsidRDefault="00000000">
      <w:pPr>
        <w:spacing w:after="60" w:line="276" w:lineRule="auto"/>
      </w:pPr>
      <w:r>
        <w:t>☐  Pricing includes NRC (non-recurring cost)</w:t>
      </w:r>
    </w:p>
    <w:p w14:paraId="542BDFBE" w14:textId="77777777" w:rsidR="00F0235E" w:rsidRDefault="00000000">
      <w:pPr>
        <w:spacing w:after="60" w:line="276" w:lineRule="auto"/>
      </w:pPr>
      <w:r>
        <w:t>☐  Pricing includes MRC (monthly recurring cost)</w:t>
      </w:r>
    </w:p>
    <w:p w14:paraId="32335FC1" w14:textId="77777777" w:rsidR="00F0235E" w:rsidRDefault="00000000">
      <w:pPr>
        <w:spacing w:after="60" w:line="276" w:lineRule="auto"/>
      </w:pPr>
      <w:r>
        <w:t>☐  Pricing includes all taxes and fees, including the current rate for USF</w:t>
      </w:r>
    </w:p>
    <w:p w14:paraId="77ED3FE2" w14:textId="77777777" w:rsidR="007C247E" w:rsidRDefault="00000000">
      <w:pPr>
        <w:spacing w:after="60" w:line="276" w:lineRule="auto"/>
      </w:pPr>
      <w:r>
        <w:t>☐  A minimum of 30 usable static public IPv4 addresses included, with any charges in the MRC</w:t>
      </w:r>
    </w:p>
    <w:p w14:paraId="63B8B9F6" w14:textId="77777777" w:rsidR="00F0235E" w:rsidRDefault="00000000">
      <w:pPr>
        <w:spacing w:after="60" w:line="276" w:lineRule="auto"/>
      </w:pPr>
      <w:r>
        <w:t>☐  Understand that costs added to the quote after the bid is submitted are the responsibility of the company and not the Applicant</w:t>
      </w:r>
    </w:p>
    <w:p w14:paraId="40C2EBC2" w14:textId="77777777" w:rsidR="00F0235E" w:rsidRDefault="00000000">
      <w:pPr>
        <w:spacing w:after="60" w:line="276" w:lineRule="auto"/>
      </w:pPr>
      <w:r>
        <w:t>☐  Single provider for all service</w:t>
      </w:r>
    </w:p>
    <w:p w14:paraId="10DB3FB4" w14:textId="77777777" w:rsidR="00F0235E" w:rsidRDefault="00000000">
      <w:pPr>
        <w:spacing w:after="60" w:line="276" w:lineRule="auto"/>
      </w:pPr>
      <w:r>
        <w:t>☐  The contract will allow for bandwidth upgrades via a contract amendment</w:t>
      </w:r>
    </w:p>
    <w:p w14:paraId="4627A825" w14:textId="77777777" w:rsidR="00F0235E" w:rsidRDefault="00000000">
      <w:pPr>
        <w:spacing w:after="60" w:line="276" w:lineRule="auto"/>
      </w:pPr>
      <w:r>
        <w:t>☐  Disconnect fees included</w:t>
      </w:r>
    </w:p>
    <w:p w14:paraId="7A6A5F6A" w14:textId="77777777" w:rsidR="00F0235E" w:rsidRDefault="00000000">
      <w:pPr>
        <w:spacing w:after="60" w:line="276" w:lineRule="auto"/>
      </w:pPr>
      <w:r>
        <w:t>☐  Downgrade fees included</w:t>
      </w:r>
    </w:p>
    <w:p w14:paraId="5DDB6CC0" w14:textId="77777777" w:rsidR="00F0235E" w:rsidRDefault="00000000">
      <w:pPr>
        <w:spacing w:after="60" w:line="276" w:lineRule="auto"/>
      </w:pPr>
      <w:r>
        <w:t>☐  Agree to SLA (Section 4)</w:t>
      </w:r>
    </w:p>
    <w:p w14:paraId="45E7FCB5" w14:textId="77777777" w:rsidR="00F0235E" w:rsidRDefault="00000000">
      <w:pPr>
        <w:spacing w:after="60" w:line="276" w:lineRule="auto"/>
      </w:pPr>
      <w:r>
        <w:t>☐  Proposal includes the service / demarcation address</w:t>
      </w:r>
    </w:p>
    <w:p w14:paraId="6FD6885D" w14:textId="77777777" w:rsidR="00F0235E" w:rsidRDefault="00000000">
      <w:pPr>
        <w:spacing w:after="60" w:line="276" w:lineRule="auto"/>
      </w:pPr>
      <w:r>
        <w:t>☐  If notified of winning this bid, the contract will include the service address</w:t>
      </w:r>
    </w:p>
    <w:p w14:paraId="143A451C" w14:textId="77777777" w:rsidR="00F0235E" w:rsidRDefault="00000000">
      <w:pPr>
        <w:spacing w:after="60" w:line="276" w:lineRule="auto"/>
      </w:pPr>
      <w:r>
        <w:t>☐  Cut-over / service start dates provided</w:t>
      </w:r>
    </w:p>
    <w:p w14:paraId="1A79F740" w14:textId="77777777" w:rsidR="00F0235E" w:rsidRDefault="00000000">
      <w:pPr>
        <w:spacing w:after="60" w:line="276" w:lineRule="auto"/>
      </w:pPr>
      <w:r>
        <w:t>☐  Network diagram included</w:t>
      </w:r>
    </w:p>
    <w:p w14:paraId="540F0EF1" w14:textId="77777777" w:rsidR="00F0235E" w:rsidRDefault="00000000">
      <w:pPr>
        <w:spacing w:after="60" w:line="276" w:lineRule="auto"/>
      </w:pPr>
      <w:r>
        <w:t>☐  Three references provided</w:t>
      </w:r>
    </w:p>
    <w:p w14:paraId="60BD1255" w14:textId="77777777" w:rsidR="00F0235E" w:rsidRDefault="00000000">
      <w:pPr>
        <w:spacing w:after="60" w:line="276" w:lineRule="auto"/>
      </w:pPr>
      <w:r>
        <w:t>☐  USAC 498 ID (SPIN) shown on the proposal</w:t>
      </w:r>
    </w:p>
    <w:p w14:paraId="50753E77" w14:textId="77777777" w:rsidR="00F0235E" w:rsidRDefault="00000000">
      <w:pPr>
        <w:spacing w:after="60" w:line="276" w:lineRule="auto"/>
      </w:pPr>
      <w:r>
        <w:t>☐  Agree to promptly support E-rate PIA review (Section 5.11)</w:t>
      </w:r>
    </w:p>
    <w:p w14:paraId="3CEA312C" w14:textId="77777777" w:rsidR="00F0235E" w:rsidRDefault="00000000">
      <w:pPr>
        <w:spacing w:after="60" w:line="276" w:lineRule="auto"/>
      </w:pPr>
      <w:r>
        <w:t>☐  The contract will include a statement that all fees will be covered by the new vendor if the service is not connected by the service start date</w:t>
      </w:r>
    </w:p>
    <w:p w14:paraId="7F6D4BEF" w14:textId="77777777" w:rsidR="00F0235E" w:rsidRDefault="00000000">
      <w:pPr>
        <w:spacing w:after="60" w:line="276" w:lineRule="auto"/>
      </w:pPr>
      <w:r>
        <w:t>☐  Aggregate uptime of 99.99% will be provided</w:t>
      </w:r>
    </w:p>
    <w:p w14:paraId="1F06FFB2" w14:textId="77777777" w:rsidR="00F0235E" w:rsidRDefault="00000000">
      <w:pPr>
        <w:spacing w:after="60" w:line="276" w:lineRule="auto"/>
      </w:pPr>
      <w:r>
        <w:t>☐  Circuits will not be throttled</w:t>
      </w:r>
    </w:p>
    <w:p w14:paraId="6A8C0A7B" w14:textId="77777777" w:rsidR="00F0235E" w:rsidRDefault="00000000">
      <w:pPr>
        <w:spacing w:after="60" w:line="276" w:lineRule="auto"/>
      </w:pPr>
      <w:r>
        <w:t>☐  It is understood that failure to provide all items requested in this RFP are grounds for disqualification</w:t>
      </w:r>
    </w:p>
    <w:p w14:paraId="197B0114" w14:textId="77777777" w:rsidR="00F0235E" w:rsidRDefault="00000000">
      <w:r>
        <w:br w:type="page"/>
      </w:r>
    </w:p>
    <w:p w14:paraId="1EE5216D" w14:textId="77777777" w:rsidR="00F0235E" w:rsidRDefault="00000000">
      <w:pPr>
        <w:pStyle w:val="Heading1"/>
        <w:spacing w:before="320" w:after="140"/>
      </w:pPr>
      <w:r>
        <w:rPr>
          <w:b/>
          <w:bCs/>
          <w:color w:val="1F3864"/>
          <w:sz w:val="28"/>
          <w:szCs w:val="28"/>
        </w:rPr>
        <w:t>Appendix D: Internet Pricing Worksheet</w:t>
      </w:r>
    </w:p>
    <w:p w14:paraId="57401F2C" w14:textId="77777777" w:rsidR="00F0235E" w:rsidRDefault="00000000">
      <w:pPr>
        <w:spacing w:after="120" w:line="276" w:lineRule="auto"/>
      </w:pPr>
      <w:r>
        <w:t>Complete and submit the separate Excel pricing worksheet (WCPS_Internet_Pricing_Worksheet.xlsx) posted with this RFP in EPC. An unlocked Excel version must be submitted with the proposal; it may also be copied into the PDF response.</w:t>
      </w:r>
    </w:p>
    <w:p w14:paraId="51F8CD40" w14:textId="77777777" w:rsidR="00F0235E" w:rsidRDefault="00000000">
      <w:pPr>
        <w:spacing w:before="120"/>
      </w:pPr>
      <w:r>
        <w:rPr>
          <w:i/>
          <w:iCs/>
          <w:color w:val="666666"/>
          <w:sz w:val="20"/>
          <w:szCs w:val="20"/>
        </w:rPr>
        <w:t>MRC must include all applicable taxes and fees, including current Universal Service Fees, and the required static public IPv4 addresses. List any non-recurring charges separately.</w:t>
      </w:r>
    </w:p>
    <w:sectPr w:rsidR="00F0235E">
      <w:pgSz w:w="12240" w:h="15840"/>
      <w:pgMar w:top="1080" w:right="1440" w:bottom="108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308BE"/>
    <w:multiLevelType w:val="hybridMultilevel"/>
    <w:tmpl w:val="46CC6AA4"/>
    <w:lvl w:ilvl="0" w:tplc="8C028FA0">
      <w:start w:val="1"/>
      <w:numFmt w:val="bullet"/>
      <w:lvlText w:val="●"/>
      <w:lvlJc w:val="left"/>
      <w:pPr>
        <w:ind w:left="720" w:hanging="360"/>
      </w:pPr>
    </w:lvl>
    <w:lvl w:ilvl="1" w:tplc="9022E8F4">
      <w:start w:val="1"/>
      <w:numFmt w:val="bullet"/>
      <w:lvlText w:val="○"/>
      <w:lvlJc w:val="left"/>
      <w:pPr>
        <w:ind w:left="1440" w:hanging="360"/>
      </w:pPr>
    </w:lvl>
    <w:lvl w:ilvl="2" w:tplc="603A0594">
      <w:start w:val="1"/>
      <w:numFmt w:val="bullet"/>
      <w:lvlText w:val="■"/>
      <w:lvlJc w:val="left"/>
      <w:pPr>
        <w:ind w:left="2160" w:hanging="360"/>
      </w:pPr>
    </w:lvl>
    <w:lvl w:ilvl="3" w:tplc="4E0A359E">
      <w:start w:val="1"/>
      <w:numFmt w:val="bullet"/>
      <w:lvlText w:val="●"/>
      <w:lvlJc w:val="left"/>
      <w:pPr>
        <w:ind w:left="2880" w:hanging="360"/>
      </w:pPr>
    </w:lvl>
    <w:lvl w:ilvl="4" w:tplc="68AE3FF6">
      <w:start w:val="1"/>
      <w:numFmt w:val="bullet"/>
      <w:lvlText w:val="○"/>
      <w:lvlJc w:val="left"/>
      <w:pPr>
        <w:ind w:left="3600" w:hanging="360"/>
      </w:pPr>
    </w:lvl>
    <w:lvl w:ilvl="5" w:tplc="20D63D82">
      <w:start w:val="1"/>
      <w:numFmt w:val="bullet"/>
      <w:lvlText w:val="■"/>
      <w:lvlJc w:val="left"/>
      <w:pPr>
        <w:ind w:left="4320" w:hanging="360"/>
      </w:pPr>
    </w:lvl>
    <w:lvl w:ilvl="6" w:tplc="2FBA3E02">
      <w:start w:val="1"/>
      <w:numFmt w:val="bullet"/>
      <w:lvlText w:val="●"/>
      <w:lvlJc w:val="left"/>
      <w:pPr>
        <w:ind w:left="5040" w:hanging="360"/>
      </w:pPr>
    </w:lvl>
    <w:lvl w:ilvl="7" w:tplc="31562A1C">
      <w:start w:val="1"/>
      <w:numFmt w:val="bullet"/>
      <w:lvlText w:val="●"/>
      <w:lvlJc w:val="left"/>
      <w:pPr>
        <w:ind w:left="5760" w:hanging="360"/>
      </w:pPr>
    </w:lvl>
    <w:lvl w:ilvl="8" w:tplc="E7D8F7F6">
      <w:start w:val="1"/>
      <w:numFmt w:val="bullet"/>
      <w:lvlText w:val="●"/>
      <w:lvlJc w:val="left"/>
      <w:pPr>
        <w:ind w:left="6480" w:hanging="360"/>
      </w:pPr>
    </w:lvl>
  </w:abstractNum>
  <w:abstractNum w:abstractNumId="1" w15:restartNumberingAfterBreak="0">
    <w:nsid w:val="6D355915"/>
    <w:multiLevelType w:val="hybridMultilevel"/>
    <w:tmpl w:val="86F4D376"/>
    <w:lvl w:ilvl="0" w:tplc="E52EBFF0">
      <w:start w:val="1"/>
      <w:numFmt w:val="bullet"/>
      <w:lvlText w:val="•"/>
      <w:lvlJc w:val="left"/>
      <w:pPr>
        <w:ind w:left="504" w:hanging="288"/>
      </w:pPr>
    </w:lvl>
    <w:lvl w:ilvl="1" w:tplc="D242DBC0">
      <w:start w:val="1"/>
      <w:numFmt w:val="bullet"/>
      <w:lvlText w:val="◦"/>
      <w:lvlJc w:val="left"/>
      <w:pPr>
        <w:ind w:left="1008" w:hanging="288"/>
      </w:pPr>
    </w:lvl>
    <w:lvl w:ilvl="2" w:tplc="E07C7908">
      <w:numFmt w:val="decimal"/>
      <w:lvlText w:val=""/>
      <w:lvlJc w:val="left"/>
    </w:lvl>
    <w:lvl w:ilvl="3" w:tplc="828E0B96">
      <w:numFmt w:val="decimal"/>
      <w:lvlText w:val=""/>
      <w:lvlJc w:val="left"/>
    </w:lvl>
    <w:lvl w:ilvl="4" w:tplc="EA9C1AEC">
      <w:numFmt w:val="decimal"/>
      <w:lvlText w:val=""/>
      <w:lvlJc w:val="left"/>
    </w:lvl>
    <w:lvl w:ilvl="5" w:tplc="2D743D48">
      <w:numFmt w:val="decimal"/>
      <w:lvlText w:val=""/>
      <w:lvlJc w:val="left"/>
    </w:lvl>
    <w:lvl w:ilvl="6" w:tplc="6CC42636">
      <w:numFmt w:val="decimal"/>
      <w:lvlText w:val=""/>
      <w:lvlJc w:val="left"/>
    </w:lvl>
    <w:lvl w:ilvl="7" w:tplc="4BD6E9AC">
      <w:numFmt w:val="decimal"/>
      <w:lvlText w:val=""/>
      <w:lvlJc w:val="left"/>
    </w:lvl>
    <w:lvl w:ilvl="8" w:tplc="ED1AB6D4">
      <w:numFmt w:val="decimal"/>
      <w:lvlText w:val=""/>
      <w:lvlJc w:val="left"/>
    </w:lvl>
  </w:abstractNum>
  <w:num w:numId="1" w16cid:durableId="102773985">
    <w:abstractNumId w:val="0"/>
    <w:lvlOverride w:ilvl="0">
      <w:startOverride w:val="1"/>
    </w:lvlOverride>
  </w:num>
  <w:num w:numId="2" w16cid:durableId="212607614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35E"/>
    <w:rsid w:val="0005652D"/>
    <w:rsid w:val="002D644F"/>
    <w:rsid w:val="00306F8B"/>
    <w:rsid w:val="005235EF"/>
    <w:rsid w:val="007C247E"/>
    <w:rsid w:val="007E36A2"/>
    <w:rsid w:val="008008EB"/>
    <w:rsid w:val="0085378F"/>
    <w:rsid w:val="008D3574"/>
    <w:rsid w:val="00916E7F"/>
    <w:rsid w:val="009266F0"/>
    <w:rsid w:val="00B80529"/>
    <w:rsid w:val="00BF7FBA"/>
    <w:rsid w:val="00C3016A"/>
    <w:rsid w:val="00D021E2"/>
    <w:rsid w:val="00E67E61"/>
    <w:rsid w:val="00F02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1640"/>
  <w15:docId w15:val="{8ED4B288-D64C-41FC-8861-5A54CD60E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E3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c\Downloads\erate@erateservices.com" TargetMode="External"/><Relationship Id="rId3" Type="http://schemas.openxmlformats.org/officeDocument/2006/relationships/settings" Target="settings.xml"/><Relationship Id="rId7" Type="http://schemas.openxmlformats.org/officeDocument/2006/relationships/hyperlink" Target="mailto:dstefnoski@wcps.k12.va.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PArH4oAgfcsKS3Jt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2718</Words>
  <Characters>15494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Cindy Johnson</cp:lastModifiedBy>
  <cp:revision>2</cp:revision>
  <dcterms:created xsi:type="dcterms:W3CDTF">2026-08-20T19:22:00Z</dcterms:created>
  <dcterms:modified xsi:type="dcterms:W3CDTF">2026-08-20T19:22:00Z</dcterms:modified>
</cp:coreProperties>
</file>