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Overview</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-919162</wp:posOffset>
                </wp:positionH>
                <wp:positionV relativeFrom="paragraph">
                  <wp:posOffset>55245</wp:posOffset>
                </wp:positionV>
                <wp:extent cx="7781925" cy="1417490"/>
                <wp:effectExtent b="0" l="0" r="0" t="0"/>
                <wp:wrapSquare wrapText="bothSides" distB="45720" distT="45720" distL="114300" distR="114300"/>
                <wp:docPr id="1" name=""/>
                <a:graphic>
                  <a:graphicData uri="http://schemas.microsoft.com/office/word/2010/wordprocessingShape">
                    <wps:wsp>
                      <wps:cNvSpPr/>
                      <wps:cNvPr id="2" name="Shape 2"/>
                      <wps:spPr>
                        <a:xfrm>
                          <a:off x="1459800" y="3077690"/>
                          <a:ext cx="7772400" cy="1404620"/>
                        </a:xfrm>
                        <a:prstGeom prst="rect">
                          <a:avLst/>
                        </a:prstGeom>
                        <a:solidFill>
                          <a:srgbClr val="D0CECE"/>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&lt;</w:t>
                            </w:r>
                            <w:r w:rsidDel="00000000" w:rsidR="00000000" w:rsidRPr="00000000">
                              <w:rPr>
                                <w:rFonts w:ascii="Calibri" w:cs="Calibri" w:eastAsia="Calibri" w:hAnsi="Calibri"/>
                                <w:b w:val="1"/>
                                <w:i w:val="0"/>
                                <w:smallCaps w:val="0"/>
                                <w:strike w:val="0"/>
                                <w:color w:val="000000"/>
                                <w:sz w:val="24"/>
                                <w:vertAlign w:val="baseline"/>
                              </w:rPr>
                              <w:t xml:space="preserve">Technology Leadership High School</w:t>
                            </w:r>
                            <w:r w:rsidDel="00000000" w:rsidR="00000000" w:rsidRPr="00000000">
                              <w:rPr>
                                <w:rFonts w:ascii="Calibri" w:cs="Calibri" w:eastAsia="Calibri" w:hAnsi="Calibri"/>
                                <w:b w:val="1"/>
                                <w:i w:val="0"/>
                                <w:smallCaps w:val="0"/>
                                <w:strike w:val="0"/>
                                <w:color w:val="000000"/>
                                <w:sz w:val="24"/>
                                <w:vertAlign w:val="baseline"/>
                              </w:rPr>
                              <w:t xml:space="preserve">&gt;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2020 E-rate Category 2 Scope of Work</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&lt;</w:t>
                            </w:r>
                            <w:r w:rsidDel="00000000" w:rsidR="00000000" w:rsidRPr="00000000">
                              <w:rPr>
                                <w:rFonts w:ascii="Calibri" w:cs="Calibri" w:eastAsia="Calibri" w:hAnsi="Calibri"/>
                                <w:b w:val="1"/>
                                <w:i w:val="0"/>
                                <w:smallCaps w:val="0"/>
                                <w:strike w:val="0"/>
                                <w:color w:val="000000"/>
                                <w:sz w:val="24"/>
                                <w:vertAlign w:val="baseline"/>
                              </w:rPr>
                              <w:t xml:space="preserve">Scope Of Work</w:t>
                            </w:r>
                            <w:r w:rsidDel="00000000" w:rsidR="00000000" w:rsidRPr="00000000">
                              <w:rPr>
                                <w:rFonts w:ascii="Calibri" w:cs="Calibri" w:eastAsia="Calibri" w:hAnsi="Calibri"/>
                                <w:b w:val="1"/>
                                <w:i w:val="0"/>
                                <w:smallCaps w:val="0"/>
                                <w:strike w:val="0"/>
                                <w:color w:val="000000"/>
                                <w:sz w:val="24"/>
                                <w:vertAlign w:val="baseline"/>
                              </w:rPr>
                              <w:t xml:space="preserve">&gt;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-919162</wp:posOffset>
                </wp:positionH>
                <wp:positionV relativeFrom="paragraph">
                  <wp:posOffset>55245</wp:posOffset>
                </wp:positionV>
                <wp:extent cx="7781925" cy="141749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781925" cy="141749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t xml:space="preserve">The </w:t>
      </w:r>
      <w:r w:rsidDel="00000000" w:rsidR="00000000" w:rsidRPr="00000000">
        <w:rPr>
          <w:b w:val="1"/>
          <w:rtl w:val="0"/>
        </w:rPr>
        <w:t xml:space="preserve">Technology Leadership High School</w:t>
      </w:r>
      <w:r w:rsidDel="00000000" w:rsidR="00000000" w:rsidRPr="00000000">
        <w:rPr>
          <w:rtl w:val="0"/>
        </w:rPr>
        <w:t xml:space="preserve"> Is</w:t>
      </w:r>
      <w:r w:rsidDel="00000000" w:rsidR="00000000" w:rsidRPr="00000000">
        <w:rPr>
          <w:rtl w:val="0"/>
        </w:rPr>
        <w:t xml:space="preserve"> seeking proposals for new network equipment that can better serve the students and staff. </w:t>
      </w:r>
    </w:p>
    <w:p w:rsidR="00000000" w:rsidDel="00000000" w:rsidP="00000000" w:rsidRDefault="00000000" w:rsidRPr="00000000" w14:paraId="00000003">
      <w:pPr>
        <w:rPr/>
      </w:pPr>
      <w:r w:rsidDel="00000000" w:rsidR="00000000" w:rsidRPr="00000000">
        <w:rPr>
          <w:rFonts w:ascii="Arial" w:cs="Arial" w:eastAsia="Arial" w:hAnsi="Arial"/>
          <w:rtl w:val="0"/>
        </w:rPr>
        <w:t xml:space="preserve">Technology Leadership High School currently has a set up of wifi access points and a variety of mixed network equipment and is looking to replace the access points for optimized connectivity and hardware equipment,along with additional cabling ( Drops ) as needed. The school is open to solutions to address the connectivity issues with the wireless access points stated in the SOW, and to alleviate issues in order to maximize students' abilities to complete tasks. Vendors also can make recommendations in a separate attachment to the cost sheet for alternative but compatible equipment and licensing. Please see attached documents. Vendors must respond using the cost response sheet (Excel File) provided.</w:t>
      </w: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Schedule of Events</w:t>
      </w:r>
    </w:p>
    <w:tbl>
      <w:tblPr>
        <w:tblStyle w:val="Table1"/>
        <w:tblW w:w="9265.0" w:type="dxa"/>
        <w:jc w:val="left"/>
        <w:tblInd w:w="0.0" w:type="dxa"/>
        <w:tblLayout w:type="fixed"/>
        <w:tblLook w:val="0400"/>
      </w:tblPr>
      <w:tblGrid>
        <w:gridCol w:w="3145"/>
        <w:gridCol w:w="3630"/>
        <w:gridCol w:w="2490"/>
        <w:tblGridChange w:id="0">
          <w:tblGrid>
            <w:gridCol w:w="3145"/>
            <w:gridCol w:w="3630"/>
            <w:gridCol w:w="249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Event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Posting of SOW</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spacing w:after="0" w:line="240" w:lineRule="auto"/>
              <w:rPr>
                <w:rFonts w:ascii="Calibri" w:cs="Calibri" w:eastAsia="Calibri" w:hAnsi="Calibri"/>
                <w:color w:val="000000"/>
              </w:rPr>
            </w:pPr>
            <w:r w:rsidDel="00000000" w:rsidR="00000000" w:rsidRPr="00000000">
              <w:rPr>
                <w:color w:val="808080"/>
                <w:rtl w:val="0"/>
              </w:rPr>
              <w:t xml:space="preserve"> January 23,  2020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A">
            <w:pPr>
              <w:spacing w:after="0" w:line="240" w:lineRule="auto"/>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Site Visit (Non-Mandatory)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after="0" w:line="240" w:lineRule="auto"/>
              <w:rPr>
                <w:rFonts w:ascii="Calibri" w:cs="Calibri" w:eastAsia="Calibri" w:hAnsi="Calibri"/>
                <w:color w:val="000000"/>
              </w:rPr>
            </w:pPr>
            <w:r w:rsidDel="00000000" w:rsidR="00000000" w:rsidRPr="00000000">
              <w:rPr>
                <w:color w:val="808080"/>
                <w:rtl w:val="0"/>
              </w:rPr>
              <w:t xml:space="preserve">January 29,2020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D">
            <w:pPr>
              <w:spacing w:after="0" w:line="240" w:lineRule="auto"/>
              <w:rPr>
                <w:rFonts w:ascii="Calibri" w:cs="Calibri" w:eastAsia="Calibri" w:hAnsi="Calibri"/>
                <w:color w:val="000000"/>
              </w:rPr>
            </w:pPr>
            <w:r w:rsidDel="00000000" w:rsidR="00000000" w:rsidRPr="00000000">
              <w:rPr>
                <w:rtl w:val="0"/>
              </w:rPr>
              <w:t xml:space="preserve">1:30 PM MST</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Deadline to Submit Questions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F">
            <w:pPr>
              <w:spacing w:after="0" w:line="240" w:lineRule="auto"/>
              <w:rPr>
                <w:rFonts w:ascii="Calibri" w:cs="Calibri" w:eastAsia="Calibri" w:hAnsi="Calibri"/>
                <w:color w:val="000000"/>
              </w:rPr>
            </w:pPr>
            <w:r w:rsidDel="00000000" w:rsidR="00000000" w:rsidRPr="00000000">
              <w:rPr>
                <w:color w:val="808080"/>
                <w:rtl w:val="0"/>
              </w:rPr>
              <w:t xml:space="preserve">February 05,2020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0">
            <w:pPr>
              <w:spacing w:after="0" w:line="240" w:lineRule="auto"/>
              <w:rPr>
                <w:rFonts w:ascii="Calibri" w:cs="Calibri" w:eastAsia="Calibri" w:hAnsi="Calibri"/>
                <w:color w:val="000000"/>
              </w:rPr>
            </w:pPr>
            <w:r w:rsidDel="00000000" w:rsidR="00000000" w:rsidRPr="00000000">
              <w:rPr>
                <w:rtl w:val="0"/>
              </w:rPr>
              <w:t xml:space="preserve">4:00 PM MST</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Response to Questions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after="0" w:line="240" w:lineRule="auto"/>
              <w:rPr>
                <w:rFonts w:ascii="Calibri" w:cs="Calibri" w:eastAsia="Calibri" w:hAnsi="Calibri"/>
                <w:color w:val="000000"/>
              </w:rPr>
            </w:pPr>
            <w:r w:rsidDel="00000000" w:rsidR="00000000" w:rsidRPr="00000000">
              <w:rPr>
                <w:color w:val="808080"/>
                <w:rtl w:val="0"/>
              </w:rPr>
              <w:t xml:space="preserve">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3">
            <w:pPr>
              <w:spacing w:after="0" w:line="240" w:lineRule="auto"/>
              <w:rPr>
                <w:rFonts w:ascii="Calibri" w:cs="Calibri" w:eastAsia="Calibri" w:hAnsi="Calibri"/>
                <w:color w:val="000000"/>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Deadline to Submit Proposal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5">
            <w:pPr>
              <w:spacing w:after="0" w:line="240" w:lineRule="auto"/>
              <w:rPr>
                <w:rFonts w:ascii="Calibri" w:cs="Calibri" w:eastAsia="Calibri" w:hAnsi="Calibri"/>
                <w:color w:val="000000"/>
              </w:rPr>
            </w:pPr>
            <w:r w:rsidDel="00000000" w:rsidR="00000000" w:rsidRPr="00000000">
              <w:rPr>
                <w:rtl w:val="0"/>
              </w:rPr>
              <w:t xml:space="preserve">February 20,2020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tl w:val="0"/>
              </w:rPr>
              <w:t xml:space="preserve">4:00 PM MST</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Notification of Intent to Award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color w:val="808080"/>
                <w:rtl w:val="0"/>
              </w:rPr>
              <w:t xml:space="preserve">February 25,2020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spacing w:after="0" w:line="240" w:lineRule="auto"/>
              <w:rPr>
                <w:rFonts w:ascii="Calibri" w:cs="Calibri" w:eastAsia="Calibri" w:hAnsi="Calibri"/>
                <w:color w:val="000000"/>
              </w:rPr>
            </w:pPr>
            <w:r w:rsidDel="00000000" w:rsidR="00000000" w:rsidRPr="00000000">
              <w:rPr>
                <w:rtl w:val="0"/>
              </w:rPr>
              <w:t xml:space="preserve">4:00 PM MST</w:t>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Site Visit</w:t>
      </w:r>
      <w:r w:rsidDel="00000000" w:rsidR="00000000" w:rsidRPr="00000000">
        <w:rPr>
          <w:rtl w:val="0"/>
        </w:rPr>
        <w:t xml:space="preserve">: Any potential bidders are welcome to participate in the non-mandatory site walkthrough. If a vendor does not participate in the site walkthrough, they will still be eligible to submit a proposal. All questions asked at the site walkthrough will be deemed unofficial unless formally submitted to the IT contact via email. Site visit will occur on </w:t>
      </w:r>
      <w:r w:rsidDel="00000000" w:rsidR="00000000" w:rsidRPr="00000000">
        <w:rPr>
          <w:color w:val="808080"/>
          <w:rtl w:val="0"/>
        </w:rPr>
        <w:t xml:space="preserve">January 29.</w:t>
      </w:r>
      <w:r w:rsidDel="00000000" w:rsidR="00000000" w:rsidRPr="00000000">
        <w:rPr>
          <w:rtl w:val="0"/>
        </w:rPr>
        <w:t xml:space="preserve"> from 1:30 PM to 2:30 PM</w:t>
      </w:r>
    </w:p>
    <w:p w:rsidR="00000000" w:rsidDel="00000000" w:rsidP="00000000" w:rsidRDefault="00000000" w:rsidRPr="00000000" w14:paraId="0000001C">
      <w:pPr>
        <w:rPr/>
      </w:pPr>
      <w:r w:rsidDel="00000000" w:rsidR="00000000" w:rsidRPr="00000000">
        <w:rPr>
          <w:rtl w:val="0"/>
        </w:rPr>
        <w:t xml:space="preserve">Questions: The school will be accepting questions via email only and must be submitted to </w:t>
      </w:r>
      <w:r w:rsidDel="00000000" w:rsidR="00000000" w:rsidRPr="00000000">
        <w:rPr>
          <w:rFonts w:ascii="Arial" w:cs="Arial" w:eastAsia="Arial" w:hAnsi="Arial"/>
          <w:sz w:val="24"/>
          <w:szCs w:val="24"/>
          <w:rtl w:val="0"/>
        </w:rPr>
        <w:t xml:space="preserve">cortazzo@techabq.org</w:t>
      </w: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t xml:space="preserve">Submission of Proposal: All proposals must be sent to the IT Contact listed on this SOW and by way of email only. The deadline to submit proposals is </w:t>
      </w:r>
      <w:r w:rsidDel="00000000" w:rsidR="00000000" w:rsidRPr="00000000">
        <w:rPr>
          <w:color w:val="808080"/>
          <w:rtl w:val="0"/>
        </w:rPr>
        <w:t xml:space="preserve">February 20, 2020.</w:t>
      </w:r>
      <w:r w:rsidDel="00000000" w:rsidR="00000000" w:rsidRPr="00000000">
        <w:rPr>
          <w:rtl w:val="0"/>
        </w:rPr>
        <w:t xml:space="preserve"> at 4:00PM.</w:t>
      </w:r>
      <w:r w:rsidDel="00000000" w:rsidR="00000000" w:rsidRPr="00000000">
        <w:rPr>
          <w:rFonts w:ascii="Calibri" w:cs="Calibri" w:eastAsia="Calibri" w:hAnsi="Calibri"/>
          <w:color w:val="000000"/>
          <w:rtl w:val="0"/>
        </w:rPr>
        <w:t xml:space="preserve"> Any proposals submitted after this date and time will be discarded and not considered.</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Award: The school reserves the right to cancel the request at any given time, award the project to one (1) vendor or award multiple vendors as needed. The school will not be held liable for any costs incurred by the vendor during this procurement.</w:t>
      </w:r>
    </w:p>
    <w:p w:rsidR="00000000" w:rsidDel="00000000" w:rsidP="00000000" w:rsidRDefault="00000000" w:rsidRPr="00000000" w14:paraId="0000001F">
      <w:pPr>
        <w:rPr>
          <w:b w:val="1"/>
          <w:u w:val="single"/>
        </w:rPr>
      </w:pPr>
      <w:r w:rsidDel="00000000" w:rsidR="00000000" w:rsidRPr="00000000">
        <w:rPr>
          <w:b w:val="1"/>
          <w:u w:val="single"/>
          <w:rtl w:val="0"/>
        </w:rPr>
        <w:t xml:space="preserve">Scope of Work</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school is seeking bids to refresh the network equipment that is currently in place. The new solution should be capable of processing internet speeds of up to 1 Gbps</w:t>
      </w:r>
      <w:r w:rsidDel="00000000" w:rsidR="00000000" w:rsidRPr="00000000">
        <w:rPr>
          <w:rtl w:val="0"/>
        </w:rPr>
        <w:t xml:space="preserve"> Mbps</w:t>
      </w:r>
      <w:r w:rsidDel="00000000" w:rsidR="00000000" w:rsidRPr="00000000">
        <w:rPr>
          <w:rtl w:val="0"/>
        </w:rPr>
        <w:t xml:space="preserve">, and up to 50 wired devices and up to 500 concurrent wireless sessions.  The proposed solution should address power, power protection, internet security (including CIPA filtering), wired and wireless data distribution and a secure data cabinet. The mounting location of the equipment should be coordinated with the site contact and placed in an area that is safe, secure and not obstruct any foot traffic. </w:t>
      </w:r>
    </w:p>
    <w:p w:rsidR="00000000" w:rsidDel="00000000" w:rsidP="00000000" w:rsidRDefault="00000000" w:rsidRPr="00000000" w14:paraId="00000021">
      <w:pPr>
        <w:rPr>
          <w:b w:val="1"/>
          <w:u w:val="single"/>
        </w:rPr>
      </w:pPr>
      <w:r w:rsidDel="00000000" w:rsidR="00000000" w:rsidRPr="00000000">
        <w:rPr>
          <w:b w:val="1"/>
          <w:u w:val="single"/>
          <w:rtl w:val="0"/>
        </w:rPr>
        <w:t xml:space="preserve">Cost Sheet</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see the attached spreadsheet </w:t>
      </w:r>
      <w:r w:rsidDel="00000000" w:rsidR="00000000" w:rsidRPr="00000000">
        <w:rPr>
          <w:rtl w:val="0"/>
        </w:rPr>
        <w:t xml:space="preserve">Tech Leadership C2 Request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vendors will use as a cost pricing sheet. This sheet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accompany all proposals.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General Requirements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The school currently has a mix of network equipment and is looking to replace the hardware and associated cabling as needed. The school is open to solutions that can address the connectivity points of interest stated in the SOW. Additionally, the following is desired of all proposals;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Pricing to include all equipment, configuration and installation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Pricing should be inclusive of all required licensing</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Pricing for licensing should include options for 1 year, 3 years, and 5 years.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shall include all taxes and fees associated with the proposed solution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Proposals should be inclusive of all necessary items required for solution to function correctly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 allocate any and all non-E-rate eligible items/services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must carry all necessary permits, insurance, certifications, etc. required to operate in the State of New Mexico</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must meet or exceed any NEC, TIA/EIA, and IEEE/ANSI standards or requirements that pertain to the work being performed</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must submit a Campaign Contribution Form</w:t>
      </w:r>
    </w:p>
    <w:p w:rsidR="00000000" w:rsidDel="00000000" w:rsidP="00000000" w:rsidRDefault="00000000" w:rsidRPr="00000000" w14:paraId="0000002F">
      <w:pPr>
        <w:rPr>
          <w:b w:val="1"/>
          <w:u w:val="single"/>
        </w:rPr>
      </w:pPr>
      <w:r w:rsidDel="00000000" w:rsidR="00000000" w:rsidRPr="00000000">
        <w:rPr>
          <w:b w:val="1"/>
          <w:u w:val="single"/>
          <w:rtl w:val="0"/>
        </w:rPr>
        <w:t xml:space="preserve">Equipment Specifications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Firewall (1)</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(1) Cisco Meraki MX 100 model with  advanced security license/  or equivalent</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1 SFP+ ports</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1 GbE port</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Intrusion Prevention System</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Supports IPv4 and IPv6</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configured to comply with E-rate CIPA requirements</w:t>
      </w:r>
    </w:p>
    <w:p w:rsidR="00000000" w:rsidDel="00000000" w:rsidP="00000000" w:rsidRDefault="00000000" w:rsidRPr="00000000" w14:paraId="00000037">
      <w:pPr>
        <w:rPr/>
      </w:pPr>
      <w:r w:rsidDel="00000000" w:rsidR="00000000" w:rsidRPr="00000000">
        <w:rPr>
          <w:rtl w:val="0"/>
        </w:rPr>
        <w:t xml:space="preserve">Switching</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(2) Cisco meraki MS120 series (48) port Gigabit POE switch, or equivalent</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Rack mountable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Switches must support stacking</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switches much have at least 2 (two) SFP/SFP+ ports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Redundant power supply is desired</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Central management is preferred</w:t>
      </w:r>
    </w:p>
    <w:p w:rsidR="00000000" w:rsidDel="00000000" w:rsidP="00000000" w:rsidRDefault="00000000" w:rsidRPr="00000000" w14:paraId="0000003E">
      <w:pPr>
        <w:rPr/>
      </w:pPr>
      <w:r w:rsidDel="00000000" w:rsidR="00000000" w:rsidRPr="00000000">
        <w:rPr>
          <w:rtl w:val="0"/>
        </w:rPr>
        <w:t xml:space="preserve">Wireless</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(12)Cisco Meraki MR45 access points</w:t>
      </w:r>
      <w:r w:rsidDel="00000000" w:rsidR="00000000" w:rsidRPr="00000000">
        <w:rPr>
          <w:color w:val="1f497d"/>
          <w:rtl w:val="0"/>
        </w:rPr>
        <w:t xml:space="preserve"> </w:t>
      </w:r>
      <w:r w:rsidDel="00000000" w:rsidR="00000000" w:rsidRPr="00000000">
        <w:rPr>
          <w:rtl w:val="0"/>
        </w:rPr>
        <w:t xml:space="preserve">with dedicated drops</w:t>
      </w:r>
      <w:r w:rsidDel="00000000" w:rsidR="00000000" w:rsidRPr="00000000">
        <w:rPr>
          <w:color w:val="1f497d"/>
          <w:rtl w:val="0"/>
        </w:rPr>
        <w:t xml:space="preserve">.</w:t>
      </w:r>
      <w:r w:rsidDel="00000000" w:rsidR="00000000" w:rsidRPr="00000000">
        <w:rPr>
          <w:rtl w:val="0"/>
        </w:rPr>
        <w:t xml:space="preserve"> 1,3, or 5yr license agreement.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access point must support legacy devices that utilize 802.11 a/b/g</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one Gigabit PoE/PoE+/ </w:t>
      </w:r>
      <w:r w:rsidDel="00000000" w:rsidR="00000000" w:rsidRPr="00000000">
        <w:rPr>
          <w:rtl w:val="0"/>
        </w:rPr>
        <w:t xml:space="preserve">The system must be Wi-Fi Certified for IEEE 802.11ac</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access point must have the ability to switch and or support both 2.4Ghz and 5Ghz spectrum</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Solution must include a wireless controller that can manage the proposed wireless solution with room to increase access point capacit</w:t>
      </w:r>
      <w:r w:rsidDel="00000000" w:rsidR="00000000" w:rsidRPr="00000000">
        <w:rPr>
          <w:rtl w:val="0"/>
        </w:rPr>
        <w:t xml:space="preserve">y</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Include training for the Meraki solution.</w:t>
      </w:r>
    </w:p>
    <w:p w:rsidR="00000000" w:rsidDel="00000000" w:rsidP="00000000" w:rsidRDefault="00000000" w:rsidRPr="00000000" w14:paraId="00000045">
      <w:pPr>
        <w:numPr>
          <w:ilvl w:val="0"/>
          <w:numId w:val="4"/>
        </w:numPr>
        <w:spacing w:after="0" w:lineRule="auto"/>
        <w:ind w:left="720" w:hanging="360"/>
      </w:pPr>
      <w:r w:rsidDel="00000000" w:rsidR="00000000" w:rsidRPr="00000000">
        <w:rPr>
          <w:rtl w:val="0"/>
        </w:rPr>
        <w:t xml:space="preserve">Center of classroom for mounting access points.</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UPS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protected outlets/Surge Protected</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1500 or better, rack mountable for at least 30 minutes backup time</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Preferably rack mountable</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Solution should include proposed network equipment with room to expand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4F">
      <w:pPr>
        <w:rPr>
          <w:highlight w:val="magenta"/>
        </w:rPr>
      </w:pPr>
      <w:r w:rsidDel="00000000" w:rsidR="00000000" w:rsidRPr="00000000">
        <w:rPr>
          <w:rtl w:val="0"/>
        </w:rPr>
        <w:t xml:space="preserve">Data Cabinet</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(1) Electriduct E-Pro 42U Network Cabinet with Metal mesh doors-24w X 79H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with ventilated door or equivalent.</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(2) Patch 48 port rack mountable cat 6 or (2) 24 port Cat </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52">
      <w:pPr>
        <w:spacing w:after="0" w:line="240" w:lineRule="auto"/>
        <w:ind w:firstLine="720"/>
        <w:rPr/>
      </w:pPr>
      <w:r w:rsidDel="00000000" w:rsidR="00000000" w:rsidRPr="00000000">
        <w:rPr>
          <w:rtl w:val="0"/>
        </w:rPr>
        <w:t xml:space="preserve">Cabling/ remove old path panels and replace all current wiring with new labeling and dressing.</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Cat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ependent on Budget) </w:t>
      </w:r>
      <w:r w:rsidDel="00000000" w:rsidR="00000000" w:rsidRPr="00000000">
        <w:rPr>
          <w:rtl w:val="0"/>
        </w:rPr>
        <w:t xml:space="preserve">UTP Length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Cat6a copper cabling cannot exceed 295 ft. (100m) each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Add (10) Cat 6 drops to identified classrooms and offices.</w:t>
      </w:r>
      <w:r w:rsidDel="00000000" w:rsidR="00000000" w:rsidRPr="00000000">
        <w:rPr>
          <w:b w:val="1"/>
          <w:rtl w:val="0"/>
        </w:rPr>
        <w:t xml:space="preserve"> </w:t>
      </w:r>
      <w:r w:rsidDel="00000000" w:rsidR="00000000" w:rsidRPr="00000000">
        <w:rPr>
          <w:rtl w:val="0"/>
        </w:rPr>
        <w:t xml:space="preserve">Inside wall mounted new drops preferred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Plenum cable is to be used in all appropriate areas</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terminations will meet ANSI/EIA/TIA 586B Standards</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cabling will require service loops and clean wire management including removing legacy items.</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new cabling will meet or exceed NEC Requirements</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will provide “as-builts” that are created in AutoCAD software or similar</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will provide updated “as-builts” to the School/District in a digital format agreed upon</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Vendor will test and certify all new cabling based on the </w:t>
      </w:r>
      <w:r w:rsidDel="00000000" w:rsidR="00000000" w:rsidRPr="00000000">
        <w:rPr>
          <w:rtl w:val="0"/>
        </w:rPr>
        <w:t xml:space="preserve">manufacturer's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warranty requirements and industry standards i.e. NEXT, PSNEXT, attenuation, shorts, opens, etc.</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testing information will be provided to the School in Microsoft Excel format.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b w:val="1"/>
          <w:u w:val="single"/>
          <w:rtl w:val="0"/>
        </w:rPr>
        <w:t xml:space="preserve">Maintenance of Equipment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school is also seeking bids/proposals for maintenance on the new network equipment. The school </w:t>
      </w:r>
      <w:r w:rsidDel="00000000" w:rsidR="00000000" w:rsidRPr="00000000">
        <w:rPr>
          <w:rtl w:val="0"/>
        </w:rPr>
        <w:t xml:space="preserve">will require the vendor to provide pricing and proposals based on the solutions that are being presented.</w:t>
      </w:r>
    </w:p>
    <w:p w:rsidR="00000000" w:rsidDel="00000000" w:rsidP="00000000" w:rsidRDefault="00000000" w:rsidRPr="00000000" w14:paraId="00000060">
      <w:pPr>
        <w:rPr>
          <w:b w:val="1"/>
          <w:highlight w:val="magenta"/>
          <w:u w:val="single"/>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b w:val="1"/>
          <w:u w:val="single"/>
          <w:rtl w:val="0"/>
        </w:rPr>
        <w:t xml:space="preserve">Additional Criteria</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uipment: The vendor must include all power modules, necessary cabling, fiber/copper modules or any other items that are required for the solution to work. Vendor shall provide any and all as-builts, licensing information, login information, and configuration documentation to the site contact within 30 days of project completion. Note: If the school has referenced a specific manufacturer or brand name, it has been used to establish a basic understanding of specifications and performance and will consider solutions of equivalent performance and specifications.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E-rate: The Vendor must be registered with USAC’s E-rate program and have a valid Service Provider Number (SPIN). This project is dependent on E-rate funding; therefore, if there is no E-rate approval, the applicant reserves the right to cancel some or all of the project. The applicant reserves the right to award multiple vendors if needed. The vendor must cost allocate any and all costs that are not E-rate eligible.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CIPA: As stated in the Equipment Specifications (under “Firewall”), the proposed solution must meet CIPA requirements as outlined by the E-rate program.</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spacing w:after="240" w:before="240" w:line="240" w:lineRule="auto"/>
        <w:rPr/>
      </w:pPr>
      <w:r w:rsidDel="00000000" w:rsidR="00000000" w:rsidRPr="00000000">
        <w:rPr>
          <w:i w:val="1"/>
          <w:color w:val="1f497d"/>
          <w:rtl w:val="0"/>
        </w:rPr>
        <w:t xml:space="preserve">Configurations: Please include costs associated with all configurations required to make the proposed solution function correctly. This will include multiple static or dynamic routes, multiple VLAN’s, multiple firewall rules, trunking, QoS settings, multiple subnets and additional protocols, rules and configurations as needed.</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Procurement: The vendor agrees to follow all applicable local procurement rules and regulations and is subject to disqualification if they cannot produce any required documentation related to this project. All communication shall be directed to the site’s technical contact only, preferably via email. The applicant reserves the right to cancel the project prior to awarding the project if needed.</w:t>
      </w:r>
    </w:p>
    <w:p w:rsidR="00000000" w:rsidDel="00000000" w:rsidP="00000000" w:rsidRDefault="00000000" w:rsidRPr="00000000" w14:paraId="0000006A">
      <w:pPr>
        <w:rPr>
          <w:b w:val="1"/>
          <w:u w:val="single"/>
        </w:rPr>
      </w:pP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b w:val="1"/>
          <w:u w:val="single"/>
          <w:rtl w:val="0"/>
        </w:rPr>
        <w:t xml:space="preserve">Evaluation</w:t>
      </w:r>
      <w:r w:rsidDel="00000000" w:rsidR="00000000" w:rsidRPr="00000000">
        <w:rPr>
          <w:rtl w:val="0"/>
        </w:rPr>
      </w:r>
    </w:p>
    <w:p w:rsidR="00000000" w:rsidDel="00000000" w:rsidP="00000000" w:rsidRDefault="00000000" w:rsidRPr="00000000" w14:paraId="0000006C">
      <w:pPr>
        <w:rPr/>
      </w:pPr>
      <w:bookmarkStart w:colFirst="0" w:colLast="0" w:name="_gjdgxs" w:id="0"/>
      <w:bookmarkEnd w:id="0"/>
      <w:r w:rsidDel="00000000" w:rsidR="00000000" w:rsidRPr="00000000">
        <w:rPr>
          <w:rtl w:val="0"/>
        </w:rPr>
        <w:t xml:space="preserve">The school will be evaluating the proposals based on the following points system.</w:t>
      </w:r>
    </w:p>
    <w:tbl>
      <w:tblPr>
        <w:tblStyle w:val="Table2"/>
        <w:tblW w:w="6605.0" w:type="dxa"/>
        <w:jc w:val="left"/>
        <w:tblInd w:w="1009.0" w:type="dxa"/>
        <w:tblLayout w:type="fixed"/>
        <w:tblLook w:val="0000"/>
      </w:tblPr>
      <w:tblGrid>
        <w:gridCol w:w="5851"/>
        <w:gridCol w:w="754"/>
        <w:tblGridChange w:id="0">
          <w:tblGrid>
            <w:gridCol w:w="5851"/>
            <w:gridCol w:w="754"/>
          </w:tblGrid>
        </w:tblGridChange>
      </w:tblGrid>
      <w:tr>
        <w:trPr>
          <w:trHeight w:val="266" w:hRule="atLeast"/>
        </w:trPr>
        <w:tc>
          <w:tcPr>
            <w:gridSpan w:val="2"/>
            <w:tcBorders>
              <w:top w:color="000000" w:space="0" w:sz="0" w:val="nil"/>
              <w:left w:color="000000" w:space="0" w:sz="0" w:val="nil"/>
              <w:bottom w:color="000000" w:space="0" w:sz="5" w:val="single"/>
              <w:right w:color="000000" w:space="0" w:sz="5" w:val="single"/>
            </w:tcBorders>
            <w:shd w:fill="e2efd9"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1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Score Weighting Scale</w:t>
            </w:r>
            <w:r w:rsidDel="00000000" w:rsidR="00000000" w:rsidRPr="00000000">
              <w:rPr>
                <w:rtl w:val="0"/>
              </w:rPr>
            </w:r>
          </w:p>
        </w:tc>
      </w:tr>
      <w:tr>
        <w:trPr>
          <w:trHeight w:val="264" w:hRule="atLeast"/>
        </w:trPr>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Cost/Price</w:t>
            </w:r>
          </w:p>
        </w:tc>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r>
      <w:tr>
        <w:trPr>
          <w:trHeight w:val="266" w:hRule="atLeast"/>
        </w:trPr>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 of needs</w:t>
            </w:r>
          </w:p>
        </w:tc>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r>
      <w:tr>
        <w:trPr>
          <w:trHeight w:val="264" w:hRule="atLeast"/>
        </w:trPr>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Compatibility with existing network</w:t>
            </w:r>
          </w:p>
        </w:tc>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10%</w:t>
            </w:r>
            <w:r w:rsidDel="00000000" w:rsidR="00000000" w:rsidRPr="00000000">
              <w:rPr>
                <w:rtl w:val="0"/>
              </w:rPr>
            </w:r>
          </w:p>
        </w:tc>
      </w:tr>
      <w:tr>
        <w:trPr>
          <w:trHeight w:val="264" w:hRule="atLeast"/>
        </w:trPr>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Previous experience with school</w:t>
            </w:r>
          </w:p>
        </w:tc>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r>
      <w:tr>
        <w:trPr>
          <w:trHeight w:val="265" w:hRule="atLeast"/>
        </w:trPr>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pre-proposal meeting / on-site visit</w:t>
            </w:r>
          </w:p>
        </w:tc>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trHeight w:val="263" w:hRule="atLeast"/>
        </w:trPr>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Installation by a certified engineer</w:t>
            </w:r>
          </w:p>
        </w:tc>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trHeight w:val="266" w:hRule="atLeast"/>
        </w:trPr>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 of ineligible services</w:t>
            </w:r>
          </w:p>
        </w:tc>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trHeight w:val="263" w:hRule="atLeast"/>
        </w:trPr>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10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 Weight</w:t>
            </w:r>
          </w:p>
        </w:tc>
        <w:tc>
          <w:tcPr>
            <w:tcBorders>
              <w:top w:color="000000" w:space="0" w:sz="5" w:val="single"/>
              <w:left w:color="000000" w:space="0" w:sz="5" w:val="single"/>
              <w:bottom w:color="000000" w:space="0" w:sz="5" w:val="single"/>
              <w:right w:color="000000" w:space="0" w:sz="5" w:val="single"/>
            </w:tcBorders>
            <w:shd w:fill="e2efd9"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b w:val="1"/>
          <w:u w:val="single"/>
          <w:rtl w:val="0"/>
        </w:rPr>
        <w:t xml:space="preserve">Technical Contact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r w:rsidDel="00000000" w:rsidR="00000000" w:rsidRPr="00000000">
        <w:rPr>
          <w:rtl w:val="0"/>
        </w:rPr>
        <w:t xml:space="preserve"> Kara Cortazzo</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r w:rsidDel="00000000" w:rsidR="00000000" w:rsidRPr="00000000">
        <w:rPr>
          <w:rtl w:val="0"/>
        </w:rPr>
        <w:t xml:space="preserve"> 10500 Research Rd SE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Albuquerque, NM 87123</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505-554-9026</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r w:rsidDel="00000000" w:rsidR="00000000" w:rsidRPr="00000000">
        <w:rPr>
          <w:rtl w:val="0"/>
        </w:rPr>
        <w:t xml:space="preserve"> </w:t>
      </w:r>
      <w:r w:rsidDel="00000000" w:rsidR="00000000" w:rsidRPr="00000000">
        <w:rPr>
          <w:rFonts w:ascii="Arial" w:cs="Arial" w:eastAsia="Arial" w:hAnsi="Arial"/>
          <w:sz w:val="24"/>
          <w:szCs w:val="24"/>
          <w:rtl w:val="0"/>
        </w:rPr>
        <w:t xml:space="preserve">cortazzo@techabq.org</w:t>
      </w:r>
      <w:r w:rsidDel="00000000" w:rsidR="00000000" w:rsidRPr="00000000">
        <w:rPr>
          <w:rtl w:val="0"/>
        </w:rPr>
      </w:r>
    </w:p>
    <w:sectPr>
      <w:footerReference r:id="rId7" w:type="default"/>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Tech Leadership C2 Request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